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3825AC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1828F23">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8BA24E2">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65.020.20</w:t>
            </w:r>
            <w:r>
              <w:rPr>
                <w:rFonts w:ascii="黑体" w:hAnsi="黑体" w:eastAsia="黑体"/>
                <w:sz w:val="21"/>
                <w:szCs w:val="21"/>
              </w:rPr>
              <w:fldChar w:fldCharType="end"/>
            </w:r>
            <w:bookmarkEnd w:id="0"/>
          </w:p>
        </w:tc>
      </w:tr>
      <w:tr w14:paraId="73FA3A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859446A">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33A249E9">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CCS B31</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698D3D51">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619D45D7">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32</w:t>
            </w:r>
            <w:r>
              <w:fldChar w:fldCharType="end"/>
            </w:r>
            <w:bookmarkEnd w:id="3"/>
          </w:p>
        </w:tc>
      </w:tr>
    </w:tbl>
    <w:p w14:paraId="6A764210">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55D14065">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57A041B3">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3A055628">
      <w:pPr>
        <w:spacing w:line="240" w:lineRule="auto"/>
        <w:rPr>
          <w:rFonts w:ascii="黑体" w:hAnsi="黑体" w:eastAsia="黑体"/>
          <w:kern w:val="0"/>
          <w:sz w:val="10"/>
          <w:szCs w:val="10"/>
        </w:rPr>
      </w:pPr>
      <w:r>
        <w:rPr>
          <w:rFonts w:hint="eastAsia"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2700020</wp:posOffset>
                </wp:positionV>
                <wp:extent cx="6120130" cy="0"/>
                <wp:effectExtent l="0" t="0" r="0" b="0"/>
                <wp:wrapNone/>
                <wp:docPr id="1665665300"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3"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9PybYukBAACzAwAADgAAAGRycy9lMm9Eb2MueG1srVNL&#10;jhMxEN0jcQfLe9KdRImglc4sEg2bASLNcADH7U5b2C7L5aSTS3ABJHawYsme2zAcg7LzYRg2s6DV&#10;smxX1at6r8qzq701bKcCanA1Hw5KzpST0Gi3qfn7u+sXLznDKFwjDDhV84NCfjV//mzW+0qNoAPT&#10;qMAIxGHV+5p3MfqqKFB2ygocgFeOjC0EKyIdw6ZogugJ3ZpiVJbToofQ+ABSIdLt8mjkJ8TwFEBo&#10;Wy3VEuTWKhePqEEZEYkSdtojn+dq21bJ+K5tUUVmak5MY14pCe3XaS3mM1FtgvCdlqcSxFNKeMTJ&#10;Cu0o6QVqKaJg26D/gbJaBkBo40CCLY5EsiLEYlg+0ua2E15lLiQ1+ovo+P9g5dvdKjDd0CRMpxP6&#10;xyVJ44Slzt9/+v7z45dfPz7Tev/tKxsntXqPFQUt3CokvnLvbv0NyA/IHCw64TYqV3138IQwTBHF&#10;XyHpgJ5yrvs30JCP2EbI0u3bYBMkicL2uUOHS4fUPjJJl9MhyTSmCuXZVojqHOgDxtcKLEubmhvt&#10;kniiErsbjKkQUZ1d0rWDa21MHgDjWF/zV5PRJAcgGN0kY3LDsFkvTGA7kUYof5kVWR66Bdi65pjE&#10;uBPpxPOo2BqawyqcxaBe5mpOc5eG5eE5R/95a/P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nf4j&#10;zNgAAAAMAQAADwAAAAAAAAABACAAAAAiAAAAZHJzL2Rvd25yZXYueG1sUEsBAhQAFAAAAAgAh07i&#10;QPT8m2LpAQAAswMAAA4AAAAAAAAAAQAgAAAAJwEAAGRycy9lMm9Eb2MueG1sUEsFBgAAAAAGAAYA&#10;WQEAAIIFAAAAAA==&#10;">
                <v:fill on="f" focussize="0,0"/>
                <v:stroke color="#000000" joinstyle="round"/>
                <v:imagedata o:title=""/>
                <o:lock v:ext="edit" aspectratio="f"/>
              </v:line>
            </w:pict>
          </mc:Fallback>
        </mc:AlternateContent>
      </w:r>
    </w:p>
    <w:p w14:paraId="79C7061C">
      <w:pPr>
        <w:pStyle w:val="50"/>
        <w:framePr w:w="9639" w:h="6976" w:hRule="exact" w:hSpace="0" w:vSpace="0" w:wrap="around" w:hAnchor="page" w:y="6408"/>
        <w:jc w:val="center"/>
        <w:rPr>
          <w:rFonts w:ascii="黑体" w:hAnsi="黑体" w:eastAsia="黑体"/>
          <w:b w:val="0"/>
          <w:bCs w:val="0"/>
          <w:w w:val="100"/>
        </w:rPr>
      </w:pPr>
    </w:p>
    <w:p w14:paraId="6342483F">
      <w:pPr>
        <w:pStyle w:val="197"/>
        <w:framePr w:h="6974" w:hRule="exact" w:wrap="around" w:x="1419" w:anchorLock="1"/>
      </w:pPr>
      <w:bookmarkStart w:id="103" w:name="_GoBack"/>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蓝莓病虫害防治技术规程</w:t>
      </w:r>
      <w:r>
        <w:fldChar w:fldCharType="end"/>
      </w:r>
      <w:bookmarkEnd w:id="103"/>
      <w:bookmarkEnd w:id="9"/>
    </w:p>
    <w:p w14:paraId="00DA7E45">
      <w:pPr>
        <w:framePr w:w="9639" w:h="6974" w:hRule="exact" w:wrap="around" w:vAnchor="page" w:hAnchor="page" w:x="1419" w:y="6408" w:anchorLock="1"/>
        <w:ind w:left="-1418"/>
      </w:pPr>
    </w:p>
    <w:p w14:paraId="592AC753">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Technical code of practice for control disease and pest of blueberry</w:t>
      </w:r>
      <w:r>
        <w:rPr>
          <w:rFonts w:ascii="黑体" w:hAnsi="黑体" w:eastAsia="黑体"/>
          <w:szCs w:val="28"/>
        </w:rPr>
        <w:fldChar w:fldCharType="end"/>
      </w:r>
      <w:bookmarkEnd w:id="10"/>
    </w:p>
    <w:p w14:paraId="592DA613">
      <w:pPr>
        <w:framePr w:w="9639" w:h="6974" w:hRule="exact" w:wrap="around" w:vAnchor="page" w:hAnchor="page" w:x="1419" w:y="6408" w:anchorLock="1"/>
        <w:spacing w:line="760" w:lineRule="exact"/>
        <w:ind w:left="-1418"/>
      </w:pPr>
    </w:p>
    <w:p w14:paraId="474913EC">
      <w:pPr>
        <w:pStyle w:val="125"/>
        <w:framePr w:w="9639" w:h="6974" w:hRule="exact" w:wrap="around" w:vAnchor="page" w:hAnchor="page" w:x="1419" w:y="6408" w:anchorLock="1"/>
        <w:textAlignment w:val="bottom"/>
        <w:rPr>
          <w:rFonts w:eastAsia="黑体"/>
          <w:szCs w:val="28"/>
        </w:rPr>
      </w:pPr>
    </w:p>
    <w:p w14:paraId="598E2996">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3DDE4C10">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1418E339">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19D1BA48">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1DE414F4">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204A257">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52A13C9">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9252585</wp:posOffset>
                </wp:positionV>
                <wp:extent cx="6120130" cy="0"/>
                <wp:effectExtent l="0" t="0" r="0" b="0"/>
                <wp:wrapNone/>
                <wp:docPr id="1249991168"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1"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B5ww5g6QEAALMDAAAOAAAAZHJzL2Uyb0RvYy54bWytU0uO&#10;EzEQ3SNxB8t70unARKSVziwSDZsBIs1wAMftTlvYLsvlpJNLcAEkdrBiyX5uw3AMys4HZtjMgl5Y&#10;rt9zvVfV08udNWyrAmpwNS8HQ86Uk9Bot675h9urF685wyhcIww4VfO9Qn45e/5s2vtKjaAD06jA&#10;CMRh1fuadzH6qihQdsoKHIBXjoItBCsimWFdNEH0hG5NMRoOx0UPofEBpEIk7+IQ5EfE8BRAaFst&#10;1QLkxioXD6hBGRGJEnbaI5/lbttWyfi+bVFFZmpOTGM+6RG6r9JZzKaiWgfhOy2PLYintPCIkxXa&#10;0aNnqIWIgm2C/gfKahkAoY0DCbY4EMmKEIty+Eibm054lbmQ1OjPouP/g5XvtsvAdEObMHo1mUzK&#10;ckzzd8LS5O8///j56euvuy903n//xsqkVu+xoqK5W4bEV+7cjb8G+RGZg3kn3Frlrm/3nhByRfGg&#10;JBno6c1V/xYayhGbCFm6XRtsgiRR2C5PaH+ekNpFJsk5LkmmlzQ8eYoVojoV+oDxjQLL0qXmRrsk&#10;nqjE9hojtU6pp5TkdnCljckLYBzraz65GF3kAgSjmxRMaRjWq7kJbCvSCuUv6UBgD9ICbFxz8BtH&#10;4RPPg2IraPbLkMLJT7PMAMe9S8vyt52z/vxrs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5qdGL&#10;1wAAAA4BAAAPAAAAAAAAAAEAIAAAACIAAABkcnMvZG93bnJldi54bWxQSwECFAAUAAAACACHTuJA&#10;ecMOYOkBAACzAwAADgAAAAAAAAABACAAAAAmAQAAZHJzL2Uyb0RvYy54bWxQSwUGAAAAAAYABgBZ&#10;AQAAgQUAAAAA&#10;">
                <v:fill on="f" focussize="0,0"/>
                <v:stroke color="#000000" joinstyle="round"/>
                <v:imagedata o:title=""/>
                <o:lock v:ext="edit" aspectratio="f"/>
                <w10:anchorlock/>
              </v:line>
            </w:pict>
          </mc:Fallback>
        </mc:AlternateContent>
      </w:r>
    </w:p>
    <w:p w14:paraId="7C885828">
      <w:pPr>
        <w:pStyle w:val="91"/>
        <w:spacing w:after="468"/>
      </w:pPr>
      <w:bookmarkStart w:id="21" w:name="BookMark1"/>
      <w:r>
        <w:rPr>
          <w:rFonts w:hint="eastAsia"/>
          <w:spacing w:val="320"/>
        </w:rPr>
        <w:t>目</w:t>
      </w:r>
      <w:r>
        <w:rPr>
          <w:rFonts w:hint="eastAsia"/>
        </w:rPr>
        <w:t>次</w:t>
      </w:r>
    </w:p>
    <w:p w14:paraId="0CAFB507">
      <w:pPr>
        <w:pStyle w:val="19"/>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TOC \o "1-1" \h \t "标准文件_一级条标题,2,标准文件_二级条标题,3,标准文件_附录一级条标题,2,标准文件_附录二级条标题,3," </w:instrText>
      </w:r>
      <w:r>
        <w:fldChar w:fldCharType="separate"/>
      </w:r>
      <w:r>
        <w:fldChar w:fldCharType="begin"/>
      </w:r>
      <w:r>
        <w:instrText xml:space="preserve"> HYPERLINK \l "_Toc178597462" </w:instrText>
      </w:r>
      <w:r>
        <w:fldChar w:fldCharType="separate"/>
      </w:r>
      <w:r>
        <w:rPr>
          <w:rStyle w:val="32"/>
          <w:rFonts w:hint="eastAsia"/>
          <w:spacing w:val="320"/>
        </w:rPr>
        <w:t>前</w:t>
      </w:r>
      <w:r>
        <w:rPr>
          <w:rStyle w:val="32"/>
          <w:rFonts w:hint="eastAsia"/>
        </w:rPr>
        <w:t>言</w:t>
      </w:r>
      <w:r>
        <w:rPr>
          <w:rFonts w:hint="eastAsia"/>
        </w:rPr>
        <w:tab/>
      </w:r>
      <w:r>
        <w:rPr>
          <w:rFonts w:hint="eastAsia"/>
        </w:rPr>
        <w:t>Ⅱ</w:t>
      </w:r>
      <w:r>
        <w:rPr>
          <w:rFonts w:hint="eastAsia"/>
        </w:rPr>
        <w:fldChar w:fldCharType="end"/>
      </w:r>
    </w:p>
    <w:p w14:paraId="4BC07AF3">
      <w:pPr>
        <w:pStyle w:val="19"/>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"_Toc178597463" </w:instrText>
      </w:r>
      <w:r>
        <w:fldChar w:fldCharType="separate"/>
      </w:r>
      <w:r>
        <w:rPr>
          <w:rStyle w:val="32"/>
          <w:rFonts w:hint="eastAsia"/>
        </w:rPr>
        <w:t>1 范围</w:t>
      </w:r>
      <w:r>
        <w:rPr>
          <w:rFonts w:hint="eastAsia"/>
        </w:rPr>
        <w:tab/>
      </w:r>
      <w:r>
        <w:rPr>
          <w:rFonts w:hint="eastAsia"/>
        </w:rPr>
        <w:fldChar w:fldCharType="begin"/>
      </w:r>
      <w:r>
        <w:rPr>
          <w:rFonts w:hint="eastAsia"/>
        </w:rPr>
        <w:instrText xml:space="preserve"> </w:instrText>
      </w:r>
      <w:r>
        <w:instrText xml:space="preserve">PAGEREF _Toc178597463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23998F7">
      <w:pPr>
        <w:pStyle w:val="19"/>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"_Toc178597464" </w:instrText>
      </w:r>
      <w:r>
        <w:fldChar w:fldCharType="separate"/>
      </w:r>
      <w:r>
        <w:rPr>
          <w:rStyle w:val="32"/>
          <w:rFonts w:hint="eastAsia"/>
        </w:rPr>
        <w:t>2 规范性引用文件</w:t>
      </w:r>
      <w:r>
        <w:rPr>
          <w:rFonts w:hint="eastAsia"/>
        </w:rPr>
        <w:tab/>
      </w:r>
      <w:r>
        <w:rPr>
          <w:rFonts w:hint="eastAsia"/>
        </w:rPr>
        <w:fldChar w:fldCharType="begin"/>
      </w:r>
      <w:r>
        <w:rPr>
          <w:rFonts w:hint="eastAsia"/>
        </w:rPr>
        <w:instrText xml:space="preserve"> </w:instrText>
      </w:r>
      <w:r>
        <w:instrText xml:space="preserve">PAGEREF _Toc178597464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6AE09A7">
      <w:pPr>
        <w:pStyle w:val="19"/>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"_Toc178597465" </w:instrText>
      </w:r>
      <w:r>
        <w:fldChar w:fldCharType="separate"/>
      </w:r>
      <w:r>
        <w:rPr>
          <w:rStyle w:val="32"/>
          <w:rFonts w:hint="eastAsia"/>
        </w:rPr>
        <w:t>3 术语和定义</w:t>
      </w:r>
      <w:r>
        <w:rPr>
          <w:rFonts w:hint="eastAsia"/>
        </w:rPr>
        <w:tab/>
      </w:r>
      <w:r>
        <w:rPr>
          <w:rFonts w:hint="eastAsia"/>
        </w:rPr>
        <w:fldChar w:fldCharType="begin"/>
      </w:r>
      <w:r>
        <w:rPr>
          <w:rFonts w:hint="eastAsia"/>
        </w:rPr>
        <w:instrText xml:space="preserve"> </w:instrText>
      </w:r>
      <w:r>
        <w:instrText xml:space="preserve">PAGEREF _Toc178597465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DB54846">
      <w:pPr>
        <w:pStyle w:val="19"/>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"_Toc178597466" </w:instrText>
      </w:r>
      <w:r>
        <w:fldChar w:fldCharType="separate"/>
      </w:r>
      <w:r>
        <w:rPr>
          <w:rStyle w:val="32"/>
          <w:rFonts w:hint="eastAsia"/>
        </w:rPr>
        <w:t>4 主要病虫害</w:t>
      </w:r>
      <w:r>
        <w:rPr>
          <w:rFonts w:hint="eastAsia"/>
        </w:rPr>
        <w:tab/>
      </w:r>
      <w:r>
        <w:rPr>
          <w:rFonts w:hint="eastAsia"/>
        </w:rPr>
        <w:fldChar w:fldCharType="begin"/>
      </w:r>
      <w:r>
        <w:rPr>
          <w:rFonts w:hint="eastAsia"/>
        </w:rPr>
        <w:instrText xml:space="preserve"> </w:instrText>
      </w:r>
      <w:r>
        <w:instrText xml:space="preserve">PAGEREF _Toc178597466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EA281E4">
      <w:pPr>
        <w:pStyle w:val="24"/>
        <w:rPr>
          <w:rFonts w:asciiTheme="minorHAnsi" w:hAnsiTheme="minorHAnsi" w:eastAsiaTheme="minorEastAsia" w:cstheme="minorBidi"/>
          <w:sz w:val="22"/>
          <w:szCs w:val="24"/>
          <w14:ligatures w14:val="standardContextual"/>
        </w:rPr>
      </w:pPr>
      <w:r>
        <w:fldChar w:fldCharType="begin"/>
      </w:r>
      <w:r>
        <w:instrText xml:space="preserve"> HYPERLINK \l "_Toc178597467" </w:instrText>
      </w:r>
      <w:r>
        <w:fldChar w:fldCharType="separate"/>
      </w:r>
      <w:r>
        <w:rPr>
          <w:rStyle w:val="32"/>
          <w:rFonts w:hint="eastAsia"/>
        </w:rPr>
        <w:t>4.1 病害</w:t>
      </w:r>
      <w:r>
        <w:rPr>
          <w:rFonts w:hint="eastAsia"/>
        </w:rPr>
        <w:tab/>
      </w:r>
      <w:r>
        <w:rPr>
          <w:rFonts w:hint="eastAsia"/>
        </w:rPr>
        <w:fldChar w:fldCharType="begin"/>
      </w:r>
      <w:r>
        <w:rPr>
          <w:rFonts w:hint="eastAsia"/>
        </w:rPr>
        <w:instrText xml:space="preserve"> </w:instrText>
      </w:r>
      <w:r>
        <w:instrText xml:space="preserve">PAGEREF _Toc178597467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B5DE736">
      <w:pPr>
        <w:pStyle w:val="24"/>
        <w:rPr>
          <w:rFonts w:asciiTheme="minorHAnsi" w:hAnsiTheme="minorHAnsi" w:eastAsiaTheme="minorEastAsia" w:cstheme="minorBidi"/>
          <w:sz w:val="22"/>
          <w:szCs w:val="24"/>
          <w14:ligatures w14:val="standardContextual"/>
        </w:rPr>
      </w:pPr>
      <w:r>
        <w:fldChar w:fldCharType="begin"/>
      </w:r>
      <w:r>
        <w:instrText xml:space="preserve"> HYPERLINK \l "_Toc178597468" </w:instrText>
      </w:r>
      <w:r>
        <w:fldChar w:fldCharType="separate"/>
      </w:r>
      <w:r>
        <w:rPr>
          <w:rStyle w:val="32"/>
          <w:rFonts w:hint="eastAsia"/>
        </w:rPr>
        <w:t>4.2 虫害</w:t>
      </w:r>
      <w:r>
        <w:rPr>
          <w:rFonts w:hint="eastAsia"/>
        </w:rPr>
        <w:tab/>
      </w:r>
      <w:r>
        <w:rPr>
          <w:rFonts w:hint="eastAsia"/>
        </w:rPr>
        <w:fldChar w:fldCharType="begin"/>
      </w:r>
      <w:r>
        <w:rPr>
          <w:rFonts w:hint="eastAsia"/>
        </w:rPr>
        <w:instrText xml:space="preserve"> </w:instrText>
      </w:r>
      <w:r>
        <w:instrText xml:space="preserve">PAGEREF _Toc178597468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C7BE54D">
      <w:pPr>
        <w:pStyle w:val="24"/>
        <w:rPr>
          <w:rFonts w:asciiTheme="minorHAnsi" w:hAnsiTheme="minorHAnsi" w:eastAsiaTheme="minorEastAsia" w:cstheme="minorBidi"/>
          <w:sz w:val="22"/>
          <w:szCs w:val="24"/>
          <w14:ligatures w14:val="standardContextual"/>
        </w:rPr>
      </w:pPr>
      <w:r>
        <w:fldChar w:fldCharType="begin"/>
      </w:r>
      <w:r>
        <w:instrText xml:space="preserve"> HYPERLINK \l "_Toc178597469" </w:instrText>
      </w:r>
      <w:r>
        <w:fldChar w:fldCharType="separate"/>
      </w:r>
      <w:r>
        <w:rPr>
          <w:rStyle w:val="32"/>
          <w:rFonts w:hint="eastAsia"/>
        </w:rPr>
        <w:t>4.3</w:t>
      </w:r>
      <w:r>
        <w:rPr>
          <w:rStyle w:val="32"/>
          <w:rFonts w:hint="eastAsia" w:ascii="Times New Roman"/>
        </w:rPr>
        <w:t xml:space="preserve"> 主要病虫害为害症状及防治适期</w:t>
      </w:r>
      <w:r>
        <w:rPr>
          <w:rFonts w:hint="eastAsia"/>
        </w:rPr>
        <w:tab/>
      </w:r>
      <w:r>
        <w:rPr>
          <w:rFonts w:hint="eastAsia"/>
        </w:rPr>
        <w:fldChar w:fldCharType="begin"/>
      </w:r>
      <w:r>
        <w:rPr>
          <w:rFonts w:hint="eastAsia"/>
        </w:rPr>
        <w:instrText xml:space="preserve"> </w:instrText>
      </w:r>
      <w:r>
        <w:instrText xml:space="preserve">PAGEREF _Toc178597469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81876FE">
      <w:pPr>
        <w:pStyle w:val="19"/>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"_Toc178597470" </w:instrText>
      </w:r>
      <w:r>
        <w:fldChar w:fldCharType="separate"/>
      </w:r>
      <w:r>
        <w:rPr>
          <w:rStyle w:val="32"/>
          <w:rFonts w:hint="eastAsia"/>
        </w:rPr>
        <w:t>5 防治原则</w:t>
      </w:r>
      <w:r>
        <w:rPr>
          <w:rFonts w:hint="eastAsia"/>
        </w:rPr>
        <w:tab/>
      </w:r>
      <w:r>
        <w:rPr>
          <w:rFonts w:hint="eastAsia"/>
        </w:rPr>
        <w:fldChar w:fldCharType="begin"/>
      </w:r>
      <w:r>
        <w:rPr>
          <w:rFonts w:hint="eastAsia"/>
        </w:rPr>
        <w:instrText xml:space="preserve"> </w:instrText>
      </w:r>
      <w:r>
        <w:instrText xml:space="preserve">PAGEREF _Toc178597470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2D99B4B5">
      <w:pPr>
        <w:pStyle w:val="24"/>
        <w:rPr>
          <w:rFonts w:asciiTheme="minorHAnsi" w:hAnsiTheme="minorHAnsi" w:eastAsiaTheme="minorEastAsia" w:cstheme="minorBidi"/>
          <w:sz w:val="22"/>
          <w:szCs w:val="24"/>
          <w14:ligatures w14:val="standardContextual"/>
        </w:rPr>
      </w:pPr>
      <w:r>
        <w:fldChar w:fldCharType="begin"/>
      </w:r>
      <w:r>
        <w:instrText xml:space="preserve"> HYPERLINK \l "_Toc178597471" </w:instrText>
      </w:r>
      <w:r>
        <w:fldChar w:fldCharType="separate"/>
      </w:r>
      <w:r>
        <w:rPr>
          <w:rStyle w:val="32"/>
          <w:rFonts w:hint="eastAsia"/>
        </w:rPr>
        <w:t>5.1 防治总体原则</w:t>
      </w:r>
      <w:r>
        <w:rPr>
          <w:rFonts w:hint="eastAsia"/>
        </w:rPr>
        <w:tab/>
      </w:r>
      <w:r>
        <w:rPr>
          <w:rFonts w:hint="eastAsia"/>
        </w:rPr>
        <w:fldChar w:fldCharType="begin"/>
      </w:r>
      <w:r>
        <w:rPr>
          <w:rFonts w:hint="eastAsia"/>
        </w:rPr>
        <w:instrText xml:space="preserve"> </w:instrText>
      </w:r>
      <w:r>
        <w:instrText xml:space="preserve">PAGEREF _Toc178597471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CB653B3">
      <w:pPr>
        <w:pStyle w:val="24"/>
        <w:rPr>
          <w:rFonts w:asciiTheme="minorHAnsi" w:hAnsiTheme="minorHAnsi" w:eastAsiaTheme="minorEastAsia" w:cstheme="minorBidi"/>
          <w:sz w:val="22"/>
          <w:szCs w:val="24"/>
          <w14:ligatures w14:val="standardContextual"/>
        </w:rPr>
      </w:pPr>
      <w:r>
        <w:fldChar w:fldCharType="begin"/>
      </w:r>
      <w:r>
        <w:instrText xml:space="preserve"> HYPERLINK \l "_Toc178597472" </w:instrText>
      </w:r>
      <w:r>
        <w:fldChar w:fldCharType="separate"/>
      </w:r>
      <w:r>
        <w:rPr>
          <w:rStyle w:val="32"/>
          <w:rFonts w:hint="eastAsia"/>
        </w:rPr>
        <w:t>5.2 化学药剂选择原则</w:t>
      </w:r>
      <w:r>
        <w:rPr>
          <w:rFonts w:hint="eastAsia"/>
        </w:rPr>
        <w:tab/>
      </w:r>
      <w:r>
        <w:rPr>
          <w:rFonts w:hint="eastAsia"/>
        </w:rPr>
        <w:fldChar w:fldCharType="begin"/>
      </w:r>
      <w:r>
        <w:rPr>
          <w:rFonts w:hint="eastAsia"/>
        </w:rPr>
        <w:instrText xml:space="preserve"> </w:instrText>
      </w:r>
      <w:r>
        <w:instrText xml:space="preserve">PAGEREF _Toc178597472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9B5F2F5">
      <w:pPr>
        <w:pStyle w:val="19"/>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"_Toc178597473" </w:instrText>
      </w:r>
      <w:r>
        <w:fldChar w:fldCharType="separate"/>
      </w:r>
      <w:r>
        <w:rPr>
          <w:rStyle w:val="32"/>
          <w:rFonts w:hint="eastAsia"/>
        </w:rPr>
        <w:t>6 防治方法</w:t>
      </w:r>
      <w:r>
        <w:rPr>
          <w:rFonts w:hint="eastAsia"/>
        </w:rPr>
        <w:tab/>
      </w:r>
      <w:r>
        <w:rPr>
          <w:rFonts w:hint="eastAsia"/>
        </w:rPr>
        <w:fldChar w:fldCharType="begin"/>
      </w:r>
      <w:r>
        <w:rPr>
          <w:rFonts w:hint="eastAsia"/>
        </w:rPr>
        <w:instrText xml:space="preserve"> </w:instrText>
      </w:r>
      <w:r>
        <w:instrText xml:space="preserve">PAGEREF _Toc178597473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5436A7CD">
      <w:pPr>
        <w:pStyle w:val="24"/>
        <w:rPr>
          <w:rFonts w:asciiTheme="minorHAnsi" w:hAnsiTheme="minorHAnsi" w:eastAsiaTheme="minorEastAsia" w:cstheme="minorBidi"/>
          <w:sz w:val="22"/>
          <w:szCs w:val="24"/>
          <w14:ligatures w14:val="standardContextual"/>
        </w:rPr>
      </w:pPr>
      <w:r>
        <w:fldChar w:fldCharType="begin"/>
      </w:r>
      <w:r>
        <w:instrText xml:space="preserve"> HYPERLINK \l "_Toc178597474" </w:instrText>
      </w:r>
      <w:r>
        <w:fldChar w:fldCharType="separate"/>
      </w:r>
      <w:r>
        <w:rPr>
          <w:rStyle w:val="32"/>
          <w:rFonts w:hint="eastAsia"/>
        </w:rPr>
        <w:t>6.1 农业防治</w:t>
      </w:r>
      <w:r>
        <w:rPr>
          <w:rFonts w:hint="eastAsia"/>
        </w:rPr>
        <w:tab/>
      </w:r>
      <w:r>
        <w:rPr>
          <w:rFonts w:hint="eastAsia"/>
        </w:rPr>
        <w:fldChar w:fldCharType="begin"/>
      </w:r>
      <w:r>
        <w:rPr>
          <w:rFonts w:hint="eastAsia"/>
        </w:rPr>
        <w:instrText xml:space="preserve"> </w:instrText>
      </w:r>
      <w:r>
        <w:instrText xml:space="preserve">PAGEREF _Toc178597474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5F8096A4">
      <w:pPr>
        <w:pStyle w:val="24"/>
        <w:rPr>
          <w:rFonts w:asciiTheme="minorHAnsi" w:hAnsiTheme="minorHAnsi" w:eastAsiaTheme="minorEastAsia" w:cstheme="minorBidi"/>
          <w:sz w:val="22"/>
          <w:szCs w:val="24"/>
          <w14:ligatures w14:val="standardContextual"/>
        </w:rPr>
      </w:pPr>
      <w:r>
        <w:fldChar w:fldCharType="begin"/>
      </w:r>
      <w:r>
        <w:instrText xml:space="preserve"> HYPERLINK \l "_Toc178597478" </w:instrText>
      </w:r>
      <w:r>
        <w:fldChar w:fldCharType="separate"/>
      </w:r>
      <w:r>
        <w:rPr>
          <w:rStyle w:val="32"/>
          <w:rFonts w:hint="eastAsia"/>
        </w:rPr>
        <w:t>6.2 物理防治</w:t>
      </w:r>
      <w:r>
        <w:rPr>
          <w:rFonts w:hint="eastAsia"/>
        </w:rPr>
        <w:tab/>
      </w:r>
      <w:r>
        <w:rPr>
          <w:rFonts w:hint="eastAsia"/>
        </w:rPr>
        <w:fldChar w:fldCharType="begin"/>
      </w:r>
      <w:r>
        <w:rPr>
          <w:rFonts w:hint="eastAsia"/>
        </w:rPr>
        <w:instrText xml:space="preserve"> </w:instrText>
      </w:r>
      <w:r>
        <w:instrText xml:space="preserve">PAGEREF _Toc178597478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058BFE6F">
      <w:pPr>
        <w:pStyle w:val="24"/>
        <w:rPr>
          <w:rFonts w:asciiTheme="minorHAnsi" w:hAnsiTheme="minorHAnsi" w:eastAsiaTheme="minorEastAsia" w:cstheme="minorBidi"/>
          <w:sz w:val="22"/>
          <w:szCs w:val="24"/>
          <w14:ligatures w14:val="standardContextual"/>
        </w:rPr>
      </w:pPr>
      <w:r>
        <w:fldChar w:fldCharType="begin"/>
      </w:r>
      <w:r>
        <w:instrText xml:space="preserve"> HYPERLINK \l "_Toc178597483" </w:instrText>
      </w:r>
      <w:r>
        <w:fldChar w:fldCharType="separate"/>
      </w:r>
      <w:r>
        <w:rPr>
          <w:rStyle w:val="32"/>
          <w:rFonts w:hint="eastAsia"/>
        </w:rPr>
        <w:t>6.3</w:t>
      </w:r>
      <w:r>
        <w:rPr>
          <w:rStyle w:val="32"/>
          <w:rFonts w:hint="eastAsia" w:ascii="Times New Roman"/>
        </w:rPr>
        <w:t xml:space="preserve"> 生物防治</w:t>
      </w:r>
      <w:r>
        <w:rPr>
          <w:rFonts w:hint="eastAsia"/>
        </w:rPr>
        <w:tab/>
      </w:r>
      <w:r>
        <w:rPr>
          <w:rFonts w:hint="eastAsia"/>
        </w:rPr>
        <w:fldChar w:fldCharType="begin"/>
      </w:r>
      <w:r>
        <w:rPr>
          <w:rFonts w:hint="eastAsia"/>
        </w:rPr>
        <w:instrText xml:space="preserve"> </w:instrText>
      </w:r>
      <w:r>
        <w:instrText xml:space="preserve">PAGEREF _Toc178597483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65F656E2">
      <w:pPr>
        <w:pStyle w:val="24"/>
        <w:rPr>
          <w:rFonts w:asciiTheme="minorHAnsi" w:hAnsiTheme="minorHAnsi" w:eastAsiaTheme="minorEastAsia" w:cstheme="minorBidi"/>
          <w:sz w:val="22"/>
          <w:szCs w:val="24"/>
          <w14:ligatures w14:val="standardContextual"/>
        </w:rPr>
      </w:pPr>
      <w:r>
        <w:fldChar w:fldCharType="begin"/>
      </w:r>
      <w:r>
        <w:instrText xml:space="preserve"> HYPERLINK \l "_Toc178597486" </w:instrText>
      </w:r>
      <w:r>
        <w:fldChar w:fldCharType="separate"/>
      </w:r>
      <w:r>
        <w:rPr>
          <w:rStyle w:val="32"/>
          <w:rFonts w:hint="eastAsia"/>
        </w:rPr>
        <w:t>6.4 化学防治</w:t>
      </w:r>
      <w:r>
        <w:rPr>
          <w:rFonts w:hint="eastAsia"/>
        </w:rPr>
        <w:tab/>
      </w:r>
      <w:r>
        <w:rPr>
          <w:rFonts w:hint="eastAsia"/>
        </w:rPr>
        <w:fldChar w:fldCharType="begin"/>
      </w:r>
      <w:r>
        <w:rPr>
          <w:rFonts w:hint="eastAsia"/>
        </w:rPr>
        <w:instrText xml:space="preserve"> </w:instrText>
      </w:r>
      <w:r>
        <w:instrText xml:space="preserve">PAGEREF _Toc178597486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1A2A064A">
      <w:pPr>
        <w:pStyle w:val="19"/>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"_Toc178597496" </w:instrText>
      </w:r>
      <w:r>
        <w:fldChar w:fldCharType="separate"/>
      </w:r>
      <w:r>
        <w:rPr>
          <w:rStyle w:val="32"/>
          <w:rFonts w:hint="eastAsia"/>
        </w:rPr>
        <w:t>7</w:t>
      </w:r>
      <w:r>
        <w:rPr>
          <w:rStyle w:val="32"/>
          <w:rFonts w:hint="eastAsia" w:ascii="Times New Roman"/>
        </w:rPr>
        <w:t xml:space="preserve"> 病虫害信息记录</w:t>
      </w:r>
      <w:r>
        <w:rPr>
          <w:rFonts w:hint="eastAsia"/>
        </w:rPr>
        <w:tab/>
      </w:r>
      <w:r>
        <w:rPr>
          <w:rFonts w:hint="eastAsia"/>
        </w:rPr>
        <w:fldChar w:fldCharType="begin"/>
      </w:r>
      <w:r>
        <w:rPr>
          <w:rFonts w:hint="eastAsia"/>
        </w:rPr>
        <w:instrText xml:space="preserve"> </w:instrText>
      </w:r>
      <w:r>
        <w:instrText xml:space="preserve">PAGEREF _Toc178597496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59401222">
      <w:pPr>
        <w:pStyle w:val="19"/>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"_Toc178597497" </w:instrText>
      </w:r>
      <w:r>
        <w:fldChar w:fldCharType="separate"/>
      </w:r>
      <w:r>
        <w:rPr>
          <w:rStyle w:val="32"/>
          <w:rFonts w:hint="eastAsia"/>
          <w:spacing w:val="100"/>
        </w:rPr>
        <w:t>附录A</w:t>
      </w:r>
      <w:r>
        <w:rPr>
          <w:rStyle w:val="32"/>
          <w:rFonts w:hint="eastAsia"/>
        </w:rPr>
        <w:t xml:space="preserve"> （资料性） 蓝莓主要病虫害为害症状及防治适期</w:t>
      </w:r>
      <w:r>
        <w:rPr>
          <w:rFonts w:hint="eastAsia"/>
        </w:rPr>
        <w:tab/>
      </w:r>
      <w:r>
        <w:rPr>
          <w:rFonts w:hint="eastAsia"/>
        </w:rPr>
        <w:fldChar w:fldCharType="begin"/>
      </w:r>
      <w:r>
        <w:rPr>
          <w:rFonts w:hint="eastAsia"/>
        </w:rPr>
        <w:instrText xml:space="preserve"> </w:instrText>
      </w:r>
      <w:r>
        <w:instrText xml:space="preserve">PAGEREF _Toc178597497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0A04869C">
      <w:pPr>
        <w:pStyle w:val="19"/>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"_Toc178597498" </w:instrText>
      </w:r>
      <w:r>
        <w:fldChar w:fldCharType="separate"/>
      </w:r>
      <w:r>
        <w:rPr>
          <w:rStyle w:val="32"/>
          <w:rFonts w:hint="eastAsia"/>
          <w:spacing w:val="100"/>
        </w:rPr>
        <w:t>附录B</w:t>
      </w:r>
      <w:r>
        <w:rPr>
          <w:rStyle w:val="32"/>
          <w:rFonts w:hint="eastAsia"/>
        </w:rPr>
        <w:t xml:space="preserve"> （资料性） 蓝莓主要病虫害防治档案记录表</w:t>
      </w:r>
      <w:r>
        <w:rPr>
          <w:rFonts w:hint="eastAsia"/>
        </w:rPr>
        <w:tab/>
      </w:r>
      <w:r>
        <w:rPr>
          <w:rFonts w:hint="eastAsia"/>
        </w:rPr>
        <w:fldChar w:fldCharType="begin"/>
      </w:r>
      <w:r>
        <w:rPr>
          <w:rFonts w:hint="eastAsia"/>
        </w:rPr>
        <w:instrText xml:space="preserve"> </w:instrText>
      </w:r>
      <w:r>
        <w:instrText xml:space="preserve">PAGEREF _Toc178597498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372E0F9A">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2136FB9D">
      <w:pPr>
        <w:pStyle w:val="89"/>
        <w:spacing w:before="900" w:after="468"/>
      </w:pPr>
      <w:bookmarkStart w:id="22" w:name="_Toc178597462"/>
      <w:bookmarkStart w:id="23" w:name="BookMark2"/>
      <w:r>
        <w:rPr>
          <w:spacing w:val="320"/>
        </w:rPr>
        <w:t>前</w:t>
      </w:r>
      <w:r>
        <w:t>言</w:t>
      </w:r>
      <w:bookmarkEnd w:id="22"/>
    </w:p>
    <w:p w14:paraId="555F6C6F">
      <w:pPr>
        <w:pStyle w:val="56"/>
        <w:ind w:firstLine="420"/>
      </w:pPr>
      <w:r>
        <w:rPr>
          <w:rFonts w:hint="eastAsia"/>
        </w:rPr>
        <w:t>本文件按照GB/T 1.1—2020《标准化工作导则  第1部分：标准化文件的结构和起草规则》的规定起草。</w:t>
      </w:r>
    </w:p>
    <w:p w14:paraId="48CFB338">
      <w:pPr>
        <w:pStyle w:val="230"/>
        <w:rPr>
          <w:rFonts w:ascii="Times New Roman"/>
          <w:szCs w:val="21"/>
        </w:rPr>
      </w:pPr>
      <w:r>
        <w:rPr>
          <w:rFonts w:hint="eastAsia" w:ascii="Times New Roman"/>
          <w:szCs w:val="21"/>
        </w:rPr>
        <w:t>请注意本文件的某些内容可能涉及专利。本文件的发布机构不承担识别专利的责任。</w:t>
      </w:r>
    </w:p>
    <w:p w14:paraId="2711DB12">
      <w:pPr>
        <w:pStyle w:val="230"/>
        <w:rPr>
          <w:rFonts w:ascii="Times New Roman"/>
          <w:szCs w:val="21"/>
        </w:rPr>
      </w:pPr>
      <w:r>
        <w:rPr>
          <w:rFonts w:ascii="Times New Roman"/>
          <w:szCs w:val="21"/>
        </w:rPr>
        <w:t>本</w:t>
      </w:r>
      <w:r>
        <w:rPr>
          <w:rFonts w:hint="eastAsia" w:ascii="Times New Roman"/>
          <w:szCs w:val="21"/>
        </w:rPr>
        <w:t>文件</w:t>
      </w:r>
      <w:r>
        <w:rPr>
          <w:rFonts w:ascii="Times New Roman"/>
          <w:szCs w:val="21"/>
        </w:rPr>
        <w:t>由</w:t>
      </w:r>
      <w:r>
        <w:rPr>
          <w:rFonts w:hint="eastAsia" w:ascii="Times New Roman"/>
          <w:szCs w:val="21"/>
        </w:rPr>
        <w:t>江苏省园艺标准化技术委员会</w:t>
      </w:r>
      <w:r>
        <w:rPr>
          <w:rFonts w:hint="eastAsia" w:ascii="Times New Roman"/>
          <w:szCs w:val="21"/>
          <w:lang w:eastAsia="zh-CN"/>
        </w:rPr>
        <w:t>提出、</w:t>
      </w:r>
      <w:r>
        <w:rPr>
          <w:rFonts w:ascii="Times New Roman"/>
          <w:szCs w:val="21"/>
        </w:rPr>
        <w:t>归口</w:t>
      </w:r>
      <w:r>
        <w:rPr>
          <w:rFonts w:hint="eastAsia" w:ascii="Times New Roman"/>
          <w:szCs w:val="21"/>
          <w:lang w:eastAsia="zh-CN"/>
        </w:rPr>
        <w:t>并组织实施</w:t>
      </w:r>
      <w:r>
        <w:rPr>
          <w:rFonts w:ascii="Times New Roman"/>
          <w:szCs w:val="21"/>
        </w:rPr>
        <w:t>。</w:t>
      </w:r>
    </w:p>
    <w:p w14:paraId="730DF709">
      <w:pPr>
        <w:pStyle w:val="230"/>
        <w:rPr>
          <w:rFonts w:ascii="Times New Roman"/>
          <w:szCs w:val="21"/>
        </w:rPr>
      </w:pPr>
      <w:r>
        <w:rPr>
          <w:rFonts w:ascii="Times New Roman"/>
          <w:szCs w:val="21"/>
        </w:rPr>
        <w:t>本</w:t>
      </w:r>
      <w:r>
        <w:rPr>
          <w:rFonts w:hint="eastAsia" w:ascii="Times New Roman"/>
          <w:szCs w:val="21"/>
        </w:rPr>
        <w:t>文件</w:t>
      </w:r>
      <w:r>
        <w:rPr>
          <w:rFonts w:ascii="Times New Roman"/>
          <w:szCs w:val="21"/>
        </w:rPr>
        <w:t>起草单位：江苏省中国科学院植物研究所</w:t>
      </w:r>
      <w:r>
        <w:rPr>
          <w:rFonts w:hint="eastAsia" w:ascii="Times New Roman"/>
          <w:szCs w:val="21"/>
        </w:rPr>
        <w:t>、安利（中国）植物研发中心、南京农业大学、</w:t>
      </w:r>
      <w:r>
        <w:rPr>
          <w:rFonts w:hint="eastAsia" w:hAnsi="宋体"/>
          <w:kern w:val="2"/>
          <w:szCs w:val="21"/>
        </w:rPr>
        <w:t>江苏省有色金属华东地质勘查局地球化学勘查与海洋地质调查研究院。</w:t>
      </w:r>
    </w:p>
    <w:p w14:paraId="79CB08A1">
      <w:pPr>
        <w:pStyle w:val="230"/>
        <w:rPr>
          <w:rFonts w:ascii="Times New Roman"/>
          <w:szCs w:val="21"/>
        </w:rPr>
      </w:pPr>
      <w:r>
        <w:rPr>
          <w:rFonts w:ascii="Times New Roman"/>
          <w:szCs w:val="21"/>
        </w:rPr>
        <w:t>本</w:t>
      </w:r>
      <w:r>
        <w:rPr>
          <w:rFonts w:hint="eastAsia" w:ascii="Times New Roman"/>
          <w:szCs w:val="21"/>
        </w:rPr>
        <w:t>文件主要</w:t>
      </w:r>
      <w:r>
        <w:rPr>
          <w:rFonts w:ascii="Times New Roman"/>
          <w:szCs w:val="21"/>
        </w:rPr>
        <w:t>起草人：田亮亮、曾其龙、</w:t>
      </w:r>
      <w:r>
        <w:rPr>
          <w:rFonts w:hint="eastAsia" w:ascii="Times New Roman"/>
          <w:szCs w:val="21"/>
        </w:rPr>
        <w:t>赵玉强、董刚强、</w:t>
      </w:r>
      <w:r>
        <w:rPr>
          <w:rFonts w:hint="eastAsia"/>
        </w:rPr>
        <w:t>田艳丽、</w:t>
      </w:r>
      <w:r>
        <w:rPr>
          <w:rFonts w:hint="eastAsia" w:ascii="Times New Roman"/>
          <w:szCs w:val="21"/>
        </w:rPr>
        <w:t>张鹏程、</w:t>
      </w:r>
      <w:r>
        <w:rPr>
          <w:rFonts w:ascii="Times New Roman"/>
          <w:szCs w:val="21"/>
        </w:rPr>
        <w:t>韦继光、姜燕琴、蒋佳峰、</w:t>
      </w:r>
      <w:r>
        <w:rPr>
          <w:rFonts w:hint="eastAsia" w:ascii="Times New Roman"/>
          <w:szCs w:val="21"/>
        </w:rPr>
        <w:t>杨晋炜、</w:t>
      </w:r>
      <w:r>
        <w:rPr>
          <w:rFonts w:ascii="Times New Roman"/>
          <w:szCs w:val="21"/>
        </w:rPr>
        <w:t>於虹。</w:t>
      </w:r>
    </w:p>
    <w:p w14:paraId="7D170C22">
      <w:pPr>
        <w:pStyle w:val="56"/>
        <w:ind w:firstLine="420"/>
      </w:pPr>
    </w:p>
    <w:p w14:paraId="78397A18">
      <w:pPr>
        <w:pStyle w:val="56"/>
        <w:ind w:firstLine="420"/>
      </w:pPr>
    </w:p>
    <w:p w14:paraId="500DF3C3">
      <w:pPr>
        <w:pStyle w:val="56"/>
        <w:ind w:firstLine="420"/>
      </w:pPr>
    </w:p>
    <w:p w14:paraId="4CF7DE74">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3"/>
    <w:p w14:paraId="2DBDEB24">
      <w:pPr>
        <w:spacing w:line="20" w:lineRule="exact"/>
        <w:jc w:val="center"/>
        <w:rPr>
          <w:rFonts w:ascii="黑体" w:hAnsi="黑体" w:eastAsia="黑体"/>
          <w:sz w:val="32"/>
          <w:szCs w:val="32"/>
        </w:rPr>
      </w:pPr>
      <w:bookmarkStart w:id="24" w:name="BookMark4"/>
    </w:p>
    <w:p w14:paraId="69F29406">
      <w:pPr>
        <w:spacing w:line="20" w:lineRule="exact"/>
        <w:jc w:val="center"/>
        <w:rPr>
          <w:rFonts w:ascii="黑体" w:hAnsi="黑体" w:eastAsia="黑体"/>
          <w:sz w:val="32"/>
          <w:szCs w:val="32"/>
        </w:rPr>
      </w:pPr>
    </w:p>
    <w:sdt>
      <w:sdtPr>
        <w:tag w:val="NEW_STAND_NAME"/>
        <w:id w:val="595910757"/>
        <w:lock w:val="sdtLocked"/>
        <w:placeholder>
          <w:docPart w:val="8B4753A3567142D1BA9A33773EE3D3A2"/>
        </w:placeholder>
      </w:sdtPr>
      <w:sdtContent>
        <w:p w14:paraId="1A25A31E">
          <w:pPr>
            <w:pStyle w:val="177"/>
            <w:spacing w:before="3" w:beforeLines="1" w:after="686" w:afterLines="220"/>
          </w:pPr>
          <w:bookmarkStart w:id="25" w:name="NEW_STAND_NAME"/>
          <w:r>
            <w:rPr>
              <w:rFonts w:hint="eastAsia"/>
            </w:rPr>
            <w:t>蓝莓病虫害防治技术规程</w:t>
          </w:r>
        </w:p>
      </w:sdtContent>
    </w:sdt>
    <w:bookmarkEnd w:id="25"/>
    <w:p w14:paraId="30EF6FD2">
      <w:pPr>
        <w:pStyle w:val="104"/>
        <w:spacing w:before="312" w:after="312"/>
      </w:pPr>
      <w:bookmarkStart w:id="26" w:name="_Toc17233325"/>
      <w:bookmarkStart w:id="27" w:name="_Toc26718930"/>
      <w:bookmarkStart w:id="28" w:name="_Toc97191423"/>
      <w:bookmarkStart w:id="29" w:name="_Toc17233333"/>
      <w:bookmarkStart w:id="30" w:name="_Toc24884211"/>
      <w:bookmarkStart w:id="31" w:name="_Toc24884218"/>
      <w:bookmarkStart w:id="32" w:name="_Toc26648465"/>
      <w:bookmarkStart w:id="33" w:name="_Toc26986530"/>
      <w:bookmarkStart w:id="34" w:name="_Toc26986771"/>
      <w:bookmarkStart w:id="35" w:name="_Toc178597463"/>
      <w:r>
        <w:rPr>
          <w:rFonts w:hint="eastAsia"/>
        </w:rPr>
        <w:t>范围</w:t>
      </w:r>
      <w:bookmarkEnd w:id="26"/>
      <w:bookmarkEnd w:id="27"/>
      <w:bookmarkEnd w:id="28"/>
      <w:bookmarkEnd w:id="29"/>
      <w:bookmarkEnd w:id="30"/>
      <w:bookmarkEnd w:id="31"/>
      <w:bookmarkEnd w:id="32"/>
      <w:bookmarkEnd w:id="33"/>
      <w:bookmarkEnd w:id="34"/>
      <w:bookmarkEnd w:id="35"/>
    </w:p>
    <w:p w14:paraId="6CA18E6C">
      <w:pPr>
        <w:pStyle w:val="56"/>
        <w:ind w:firstLine="420"/>
      </w:pPr>
      <w:bookmarkStart w:id="36" w:name="_Toc24884219"/>
      <w:bookmarkStart w:id="37" w:name="_Toc17233334"/>
      <w:bookmarkStart w:id="38" w:name="_Toc24884212"/>
      <w:bookmarkStart w:id="39" w:name="_Toc26648466"/>
      <w:bookmarkStart w:id="40" w:name="_Toc17233326"/>
      <w:r>
        <w:t>本文件规定了蓝莓的主要病虫害、防治原则、农业防治、物理防治、生物防治、化学防治、病虫害信息记录</w:t>
      </w:r>
      <w:r>
        <w:rPr>
          <w:rFonts w:hint="eastAsia"/>
        </w:rPr>
        <w:t>等</w:t>
      </w:r>
      <w:r>
        <w:t>。</w:t>
      </w:r>
    </w:p>
    <w:p w14:paraId="0CE1BBD9">
      <w:pPr>
        <w:pStyle w:val="56"/>
        <w:ind w:firstLine="420"/>
      </w:pPr>
      <w:r>
        <w:rPr>
          <w:rFonts w:hint="eastAsia"/>
        </w:rPr>
        <w:t>本文件适用于蓝莓果园主要病虫害的防治。</w:t>
      </w:r>
    </w:p>
    <w:p w14:paraId="4AF03BFD">
      <w:pPr>
        <w:pStyle w:val="104"/>
        <w:spacing w:before="312" w:after="312"/>
      </w:pPr>
      <w:bookmarkStart w:id="41" w:name="_Toc26986772"/>
      <w:bookmarkStart w:id="42" w:name="_Toc97191424"/>
      <w:bookmarkStart w:id="43" w:name="_Toc26718931"/>
      <w:bookmarkStart w:id="44" w:name="_Toc26986531"/>
      <w:bookmarkStart w:id="45" w:name="_Toc178597464"/>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BE5953E9097B4A18B87E46C4781F2C6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7D3A2FAC">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C43E6BA">
      <w:pPr>
        <w:pStyle w:val="230"/>
        <w:rPr>
          <w:rFonts w:ascii="Times New Roman"/>
        </w:rPr>
      </w:pPr>
      <w:r>
        <w:rPr>
          <w:rFonts w:ascii="Times New Roman"/>
        </w:rPr>
        <w:t>GB/T 8321（所有部分） 农药合理使用准则</w:t>
      </w:r>
    </w:p>
    <w:p w14:paraId="13F7302F">
      <w:pPr>
        <w:pStyle w:val="56"/>
        <w:ind w:firstLine="420"/>
      </w:pPr>
      <w:r>
        <w:rPr>
          <w:rFonts w:hint="eastAsia" w:ascii="Times New Roman"/>
        </w:rPr>
        <w:t>NY/T 1276</w:t>
      </w:r>
      <w:r>
        <w:rPr>
          <w:rFonts w:ascii="Times New Roman"/>
        </w:rPr>
        <w:t xml:space="preserve"> </w:t>
      </w:r>
      <w:r>
        <w:rPr>
          <w:rFonts w:hint="eastAsia"/>
        </w:rPr>
        <w:t>农药安全使用规范 总则</w:t>
      </w:r>
    </w:p>
    <w:p w14:paraId="0D0040E9">
      <w:pPr>
        <w:pStyle w:val="230"/>
        <w:rPr>
          <w:rFonts w:ascii="Times New Roman"/>
        </w:rPr>
      </w:pPr>
      <w:r>
        <w:rPr>
          <w:rFonts w:hint="eastAsia" w:ascii="Times New Roman"/>
        </w:rPr>
        <w:t>DB32/T 997 蓝莓生产技术规程</w:t>
      </w:r>
    </w:p>
    <w:p w14:paraId="5DC6E935">
      <w:pPr>
        <w:pStyle w:val="104"/>
        <w:spacing w:before="312" w:after="312"/>
      </w:pPr>
      <w:bookmarkStart w:id="46" w:name="_Toc178597465"/>
      <w:bookmarkStart w:id="47" w:name="_Toc97191425"/>
      <w:r>
        <w:rPr>
          <w:rFonts w:hint="eastAsia"/>
        </w:rPr>
        <w:t>术语和定义</w:t>
      </w:r>
      <w:bookmarkEnd w:id="46"/>
      <w:bookmarkEnd w:id="47"/>
    </w:p>
    <w:sdt>
      <w:sdtPr>
        <w:id w:val="-1909835108"/>
        <w:placeholder>
          <w:docPart w:val="40402A5473C74331898DDE2E7091F61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2ED89CB">
          <w:pPr>
            <w:pStyle w:val="56"/>
            <w:ind w:firstLine="420"/>
          </w:pPr>
          <w:bookmarkStart w:id="48" w:name="_Toc26986532"/>
          <w:bookmarkEnd w:id="48"/>
          <w:r>
            <w:t>本文件没有需要界定的术语和定义。</w:t>
          </w:r>
        </w:p>
      </w:sdtContent>
    </w:sdt>
    <w:p w14:paraId="5DCC0E08">
      <w:pPr>
        <w:pStyle w:val="104"/>
        <w:spacing w:before="312" w:after="312"/>
      </w:pPr>
      <w:bookmarkStart w:id="49" w:name="_Toc178597466"/>
      <w:r>
        <w:t>主要病虫害</w:t>
      </w:r>
      <w:bookmarkEnd w:id="49"/>
    </w:p>
    <w:p w14:paraId="78432836">
      <w:pPr>
        <w:pStyle w:val="105"/>
        <w:spacing w:before="156" w:after="156"/>
      </w:pPr>
      <w:bookmarkStart w:id="50" w:name="_Toc178597467"/>
      <w:r>
        <w:rPr>
          <w:rFonts w:hint="eastAsia"/>
        </w:rPr>
        <w:t>病害</w:t>
      </w:r>
      <w:bookmarkEnd w:id="50"/>
    </w:p>
    <w:p w14:paraId="436AA19E">
      <w:pPr>
        <w:pStyle w:val="56"/>
        <w:ind w:firstLine="420"/>
        <w:rPr>
          <w:rFonts w:ascii="Times New Roman"/>
        </w:rPr>
      </w:pPr>
      <w:r>
        <w:rPr>
          <w:rFonts w:ascii="Times New Roman"/>
        </w:rPr>
        <w:t>灰霉病、枝枯病、叶斑病、根腐病</w:t>
      </w:r>
      <w:r>
        <w:rPr>
          <w:rFonts w:hint="eastAsia" w:ascii="Times New Roman"/>
        </w:rPr>
        <w:t>、白粉病、锈病</w:t>
      </w:r>
      <w:r>
        <w:rPr>
          <w:rFonts w:ascii="Times New Roman"/>
        </w:rPr>
        <w:t>。</w:t>
      </w:r>
    </w:p>
    <w:p w14:paraId="6CC709EE">
      <w:pPr>
        <w:pStyle w:val="105"/>
        <w:spacing w:before="156" w:after="156"/>
      </w:pPr>
      <w:bookmarkStart w:id="51" w:name="_Toc178597468"/>
      <w:r>
        <w:rPr>
          <w:rFonts w:hint="eastAsia"/>
        </w:rPr>
        <w:t>虫害</w:t>
      </w:r>
      <w:bookmarkEnd w:id="51"/>
    </w:p>
    <w:p w14:paraId="2AD4E001">
      <w:pPr>
        <w:pStyle w:val="56"/>
        <w:ind w:firstLine="420"/>
        <w:rPr>
          <w:rFonts w:ascii="Times New Roman"/>
        </w:rPr>
      </w:pPr>
      <w:r>
        <w:rPr>
          <w:rFonts w:ascii="Times New Roman"/>
        </w:rPr>
        <w:t>食叶类刺蛾、夜蛾</w:t>
      </w:r>
      <w:r>
        <w:rPr>
          <w:rFonts w:hint="eastAsia" w:ascii="Times New Roman"/>
        </w:rPr>
        <w:t>科</w:t>
      </w:r>
      <w:r>
        <w:rPr>
          <w:rFonts w:ascii="Times New Roman"/>
        </w:rPr>
        <w:t>害虫</w:t>
      </w:r>
      <w:r>
        <w:rPr>
          <w:rFonts w:hint="eastAsia" w:ascii="Times New Roman"/>
        </w:rPr>
        <w:t>、蛴螬</w:t>
      </w:r>
      <w:r>
        <w:rPr>
          <w:rFonts w:ascii="Times New Roman"/>
        </w:rPr>
        <w:t>、</w:t>
      </w:r>
      <w:r>
        <w:rPr>
          <w:rFonts w:hint="eastAsia" w:ascii="Times New Roman"/>
        </w:rPr>
        <w:t>斑翅</w:t>
      </w:r>
      <w:r>
        <w:rPr>
          <w:rFonts w:ascii="Times New Roman"/>
        </w:rPr>
        <w:t>果蝇、蚜虫、蓟马、</w:t>
      </w:r>
      <w:r>
        <w:rPr>
          <w:rFonts w:hint="eastAsia" w:ascii="Times New Roman"/>
        </w:rPr>
        <w:t>介</w:t>
      </w:r>
      <w:r>
        <w:rPr>
          <w:rFonts w:ascii="Times New Roman"/>
        </w:rPr>
        <w:t>壳虫。</w:t>
      </w:r>
    </w:p>
    <w:p w14:paraId="43A2599C">
      <w:pPr>
        <w:pStyle w:val="105"/>
        <w:spacing w:before="156" w:after="156"/>
        <w:rPr>
          <w:rFonts w:ascii="Times New Roman"/>
        </w:rPr>
      </w:pPr>
      <w:bookmarkStart w:id="52" w:name="_Toc178597469"/>
      <w:r>
        <w:rPr>
          <w:rFonts w:ascii="Times New Roman"/>
        </w:rPr>
        <w:t>主要病虫害为害症状及防治适期</w:t>
      </w:r>
      <w:bookmarkEnd w:id="52"/>
    </w:p>
    <w:p w14:paraId="465487F1">
      <w:pPr>
        <w:pStyle w:val="56"/>
        <w:ind w:firstLine="420"/>
        <w:rPr>
          <w:rFonts w:ascii="Times New Roman"/>
        </w:rPr>
      </w:pPr>
      <w:r>
        <w:rPr>
          <w:rFonts w:ascii="Times New Roman"/>
        </w:rPr>
        <w:t>见附录A。</w:t>
      </w:r>
    </w:p>
    <w:p w14:paraId="33F01353">
      <w:pPr>
        <w:pStyle w:val="104"/>
        <w:spacing w:before="312" w:after="312"/>
      </w:pPr>
      <w:bookmarkStart w:id="53" w:name="_Toc178597470"/>
      <w:r>
        <w:rPr>
          <w:rFonts w:hint="eastAsia"/>
        </w:rPr>
        <w:t>防治原则</w:t>
      </w:r>
      <w:bookmarkEnd w:id="53"/>
    </w:p>
    <w:p w14:paraId="1C222AC6">
      <w:pPr>
        <w:pStyle w:val="105"/>
        <w:spacing w:before="156" w:after="156"/>
      </w:pPr>
      <w:bookmarkStart w:id="54" w:name="_Toc178597471"/>
      <w:r>
        <w:rPr>
          <w:rFonts w:hint="eastAsia"/>
        </w:rPr>
        <w:t>防治总体原则</w:t>
      </w:r>
      <w:bookmarkEnd w:id="54"/>
    </w:p>
    <w:p w14:paraId="65CFBCAD">
      <w:pPr>
        <w:pStyle w:val="56"/>
        <w:ind w:firstLine="420"/>
      </w:pPr>
      <w:r>
        <w:rPr>
          <w:rFonts w:ascii="Times New Roman"/>
        </w:rPr>
        <w:t>遵循“预防为主，综合防治”的植保方针，坚持以农业防治、物理防治和生物防治为主，</w:t>
      </w:r>
      <w:r>
        <w:rPr>
          <w:rFonts w:hint="eastAsia" w:ascii="Times New Roman"/>
        </w:rPr>
        <w:t>以</w:t>
      </w:r>
      <w:r>
        <w:rPr>
          <w:rFonts w:ascii="Times New Roman"/>
        </w:rPr>
        <w:t>化学防治</w:t>
      </w:r>
      <w:r>
        <w:rPr>
          <w:rFonts w:hint="eastAsia" w:ascii="Times New Roman"/>
        </w:rPr>
        <w:t>为辅</w:t>
      </w:r>
      <w:r>
        <w:rPr>
          <w:rFonts w:ascii="Times New Roman"/>
        </w:rPr>
        <w:t>。</w:t>
      </w:r>
    </w:p>
    <w:p w14:paraId="6D863560">
      <w:pPr>
        <w:pStyle w:val="105"/>
        <w:spacing w:before="156" w:after="156"/>
      </w:pPr>
      <w:bookmarkStart w:id="55" w:name="_Toc178597472"/>
      <w:r>
        <w:rPr>
          <w:rFonts w:hint="eastAsia"/>
        </w:rPr>
        <w:t>化学药剂选择原则</w:t>
      </w:r>
      <w:bookmarkEnd w:id="55"/>
    </w:p>
    <w:p w14:paraId="50BA9FBB">
      <w:pPr>
        <w:pStyle w:val="56"/>
        <w:ind w:firstLine="420"/>
      </w:pPr>
      <w:r>
        <w:rPr>
          <w:rFonts w:ascii="Times New Roman"/>
        </w:rPr>
        <w:t>优先选用高效、低毒、</w:t>
      </w:r>
      <w:r>
        <w:rPr>
          <w:rFonts w:hint="eastAsia" w:ascii="Times New Roman"/>
        </w:rPr>
        <w:t>安全的</w:t>
      </w:r>
      <w:r>
        <w:rPr>
          <w:rFonts w:ascii="Times New Roman"/>
        </w:rPr>
        <w:t>化学农药和生物农药，不同作用靶标的农药交替使用，严禁使用国家禁止使用的农药，慎重选择国家限制使用的农药</w:t>
      </w:r>
      <w:r>
        <w:rPr>
          <w:rFonts w:hint="eastAsia" w:ascii="Times New Roman"/>
        </w:rPr>
        <w:t>，</w:t>
      </w:r>
      <w:r>
        <w:rPr>
          <w:rFonts w:ascii="Times New Roman"/>
        </w:rPr>
        <w:t>对症下药，适时用药，合理混配药剂，</w:t>
      </w:r>
      <w:r>
        <w:rPr>
          <w:rFonts w:hint="eastAsia" w:ascii="Times New Roman"/>
        </w:rPr>
        <w:t>严格遵守</w:t>
      </w:r>
      <w:r>
        <w:rPr>
          <w:rFonts w:ascii="Times New Roman"/>
        </w:rPr>
        <w:t>农药施用的安全间隔期。</w:t>
      </w:r>
      <w:r>
        <w:rPr>
          <w:rFonts w:hint="eastAsia" w:ascii="Times New Roman"/>
        </w:rPr>
        <w:t>对于蓝莓作物中尚未登记农药，在确保风险可控的前提下，应进行1~3年的药效试验。农药使用应符合</w:t>
      </w:r>
      <w:r>
        <w:rPr>
          <w:rFonts w:ascii="Times New Roman"/>
        </w:rPr>
        <w:t>GB/T 8321（所有部分）</w:t>
      </w:r>
      <w:r>
        <w:rPr>
          <w:rFonts w:hint="eastAsia" w:ascii="Times New Roman"/>
        </w:rPr>
        <w:t>、NY/T 1276</w:t>
      </w:r>
      <w:r>
        <w:rPr>
          <w:rFonts w:hint="eastAsia"/>
        </w:rPr>
        <w:t>的规定。</w:t>
      </w:r>
    </w:p>
    <w:p w14:paraId="228EAC84">
      <w:pPr>
        <w:pStyle w:val="104"/>
        <w:spacing w:before="312" w:after="312"/>
      </w:pPr>
      <w:bookmarkStart w:id="56" w:name="_Toc178597473"/>
      <w:r>
        <w:rPr>
          <w:rFonts w:hint="eastAsia"/>
        </w:rPr>
        <w:t>防治方法</w:t>
      </w:r>
      <w:bookmarkEnd w:id="56"/>
    </w:p>
    <w:p w14:paraId="567D06CA">
      <w:pPr>
        <w:pStyle w:val="105"/>
        <w:spacing w:before="156" w:after="156"/>
      </w:pPr>
      <w:bookmarkStart w:id="57" w:name="_Toc178597474"/>
      <w:r>
        <w:t>农业防治</w:t>
      </w:r>
      <w:bookmarkEnd w:id="57"/>
    </w:p>
    <w:p w14:paraId="157A4E20">
      <w:pPr>
        <w:pStyle w:val="65"/>
        <w:spacing w:before="156" w:after="156"/>
      </w:pPr>
      <w:bookmarkStart w:id="58" w:name="_Toc178245060"/>
      <w:bookmarkStart w:id="59" w:name="_Toc178597475"/>
      <w:r>
        <w:t>品种选择</w:t>
      </w:r>
      <w:bookmarkEnd w:id="58"/>
      <w:bookmarkEnd w:id="59"/>
    </w:p>
    <w:p w14:paraId="1013D3D5">
      <w:pPr>
        <w:pStyle w:val="56"/>
        <w:ind w:firstLine="420"/>
      </w:pPr>
      <w:r>
        <w:rPr>
          <w:rFonts w:hint="eastAsia"/>
        </w:rPr>
        <w:t>选择兔眼蓝莓（</w:t>
      </w:r>
      <w:r>
        <w:rPr>
          <w:rFonts w:ascii="Times New Roman"/>
          <w:i/>
          <w:iCs/>
        </w:rPr>
        <w:t>Vaccinioideae. ashei</w:t>
      </w:r>
      <w:r>
        <w:rPr>
          <w:rFonts w:hint="eastAsia"/>
        </w:rPr>
        <w:t>）和高丛蓝莓（</w:t>
      </w:r>
      <w:r>
        <w:rPr>
          <w:rFonts w:hint="eastAsia" w:ascii="Times New Roman"/>
          <w:i/>
          <w:iCs/>
        </w:rPr>
        <w:t>V.corymbosum</w:t>
      </w:r>
      <w:r>
        <w:rPr>
          <w:rFonts w:hint="eastAsia"/>
        </w:rPr>
        <w:t>）中抗病虫性强的蓝莓鲜食品种。</w:t>
      </w:r>
    </w:p>
    <w:p w14:paraId="63B23A50">
      <w:pPr>
        <w:pStyle w:val="65"/>
        <w:spacing w:before="156" w:after="156"/>
      </w:pPr>
      <w:bookmarkStart w:id="60" w:name="_Toc178245061"/>
      <w:bookmarkStart w:id="61" w:name="_Toc178597476"/>
      <w:r>
        <w:t>栽植密度</w:t>
      </w:r>
      <w:bookmarkEnd w:id="60"/>
      <w:bookmarkEnd w:id="61"/>
    </w:p>
    <w:p w14:paraId="47740826">
      <w:pPr>
        <w:pStyle w:val="56"/>
        <w:ind w:firstLine="420"/>
        <w:rPr>
          <w:rFonts w:ascii="Times New Roman"/>
          <w:bCs/>
        </w:rPr>
      </w:pPr>
      <w:r>
        <w:rPr>
          <w:rFonts w:ascii="Times New Roman"/>
          <w:bCs/>
        </w:rPr>
        <w:t>兔眼蓝莓株行距</w:t>
      </w:r>
      <w:r>
        <w:rPr>
          <w:rFonts w:hint="eastAsia" w:ascii="Times New Roman"/>
          <w:bCs/>
        </w:rPr>
        <w:t>为</w:t>
      </w:r>
      <w:r>
        <w:rPr>
          <w:rFonts w:ascii="Times New Roman"/>
          <w:bCs/>
        </w:rPr>
        <w:t>（1</w:t>
      </w:r>
      <w:r>
        <w:rPr>
          <w:rFonts w:hint="eastAsia" w:ascii="Times New Roman"/>
          <w:bCs/>
        </w:rPr>
        <w:t>.0~</w:t>
      </w:r>
      <w:r>
        <w:rPr>
          <w:rFonts w:ascii="Times New Roman"/>
          <w:bCs/>
        </w:rPr>
        <w:t>1.5）</w:t>
      </w:r>
      <w:r>
        <w:rPr>
          <w:rFonts w:hint="eastAsia" w:ascii="Times New Roman"/>
          <w:bCs/>
        </w:rPr>
        <w:t>m</w:t>
      </w:r>
      <w:r>
        <w:rPr>
          <w:rFonts w:ascii="Times New Roman"/>
          <w:bCs/>
        </w:rPr>
        <w:t>×（2.0~3.0）</w:t>
      </w:r>
      <w:r>
        <w:rPr>
          <w:rFonts w:hint="eastAsia" w:ascii="Times New Roman"/>
          <w:bCs/>
        </w:rPr>
        <w:t>m</w:t>
      </w:r>
      <w:r>
        <w:rPr>
          <w:rFonts w:ascii="Times New Roman"/>
          <w:bCs/>
        </w:rPr>
        <w:t>，高丛蓝莓株行距</w:t>
      </w:r>
      <w:r>
        <w:rPr>
          <w:rFonts w:hint="eastAsia" w:ascii="Times New Roman"/>
          <w:bCs/>
        </w:rPr>
        <w:t>为</w:t>
      </w:r>
      <w:r>
        <w:rPr>
          <w:rFonts w:ascii="Times New Roman"/>
          <w:bCs/>
        </w:rPr>
        <w:t>（0.8~1.5）</w:t>
      </w:r>
      <w:r>
        <w:rPr>
          <w:rFonts w:hint="eastAsia" w:ascii="Times New Roman"/>
          <w:bCs/>
        </w:rPr>
        <w:t>m</w:t>
      </w:r>
      <w:r>
        <w:rPr>
          <w:rFonts w:ascii="Times New Roman"/>
          <w:bCs/>
        </w:rPr>
        <w:t>×（2</w:t>
      </w:r>
      <w:r>
        <w:rPr>
          <w:rFonts w:hint="eastAsia" w:ascii="Times New Roman"/>
          <w:bCs/>
        </w:rPr>
        <w:t>.</w:t>
      </w:r>
      <w:r>
        <w:rPr>
          <w:rFonts w:ascii="Times New Roman"/>
          <w:bCs/>
        </w:rPr>
        <w:t>0~3.0）</w:t>
      </w:r>
      <w:r>
        <w:rPr>
          <w:rFonts w:hint="eastAsia" w:ascii="Times New Roman"/>
          <w:bCs/>
        </w:rPr>
        <w:t>m</w:t>
      </w:r>
      <w:r>
        <w:rPr>
          <w:rFonts w:ascii="Times New Roman"/>
          <w:bCs/>
        </w:rPr>
        <w:t>。</w:t>
      </w:r>
    </w:p>
    <w:p w14:paraId="496961A9">
      <w:pPr>
        <w:pStyle w:val="65"/>
        <w:spacing w:before="156" w:after="156"/>
      </w:pPr>
      <w:bookmarkStart w:id="62" w:name="_Toc178597477"/>
      <w:bookmarkStart w:id="63" w:name="_Toc178245062"/>
      <w:r>
        <w:t>覆盖</w:t>
      </w:r>
      <w:bookmarkEnd w:id="62"/>
      <w:bookmarkEnd w:id="63"/>
    </w:p>
    <w:p w14:paraId="6AD471A6">
      <w:pPr>
        <w:pStyle w:val="56"/>
        <w:ind w:firstLine="420"/>
        <w:rPr>
          <w:bCs/>
        </w:rPr>
      </w:pPr>
      <w:r>
        <w:rPr>
          <w:rFonts w:hint="eastAsia"/>
          <w:bCs/>
        </w:rPr>
        <w:t>采用</w:t>
      </w:r>
      <w:r>
        <w:rPr>
          <w:bCs/>
        </w:rPr>
        <w:t>作物秸秆、松针、松树皮、锯末和醋糟</w:t>
      </w:r>
      <w:r>
        <w:rPr>
          <w:rFonts w:hint="eastAsia"/>
          <w:bCs/>
        </w:rPr>
        <w:t>等为覆盖物，覆盖厚度</w:t>
      </w:r>
      <w:r>
        <w:rPr>
          <w:rFonts w:ascii="Times New Roman"/>
          <w:bCs/>
        </w:rPr>
        <w:t>5.0 cm~10.0</w:t>
      </w:r>
      <w:r>
        <w:rPr>
          <w:rFonts w:hint="eastAsia"/>
          <w:bCs/>
        </w:rPr>
        <w:t xml:space="preserve"> cm。</w:t>
      </w:r>
    </w:p>
    <w:p w14:paraId="7318E4AA">
      <w:pPr>
        <w:pStyle w:val="165"/>
        <w:spacing w:before="100" w:beforeAutospacing="1" w:after="100" w:afterAutospacing="1"/>
        <w:rPr>
          <w:rFonts w:ascii="黑体" w:hAnsi="黑体" w:eastAsia="黑体"/>
        </w:rPr>
      </w:pPr>
      <w:r>
        <w:rPr>
          <w:rFonts w:ascii="黑体" w:hAnsi="黑体" w:eastAsia="黑体"/>
        </w:rPr>
        <w:t>水肥管理</w:t>
      </w:r>
      <w:r>
        <w:rPr>
          <w:rFonts w:hint="eastAsia" w:ascii="黑体" w:hAnsi="黑体" w:eastAsia="黑体"/>
        </w:rPr>
        <w:t>、</w:t>
      </w:r>
      <w:r>
        <w:rPr>
          <w:rFonts w:ascii="黑体" w:hAnsi="黑体" w:eastAsia="黑体"/>
        </w:rPr>
        <w:t>修剪</w:t>
      </w:r>
      <w:r>
        <w:rPr>
          <w:rFonts w:hint="eastAsia" w:ascii="黑体" w:hAnsi="黑体" w:eastAsia="黑体"/>
        </w:rPr>
        <w:t>、</w:t>
      </w:r>
      <w:r>
        <w:rPr>
          <w:rFonts w:ascii="黑体" w:hAnsi="黑体" w:eastAsia="黑体"/>
        </w:rPr>
        <w:t>清园</w:t>
      </w:r>
    </w:p>
    <w:p w14:paraId="1D09353C">
      <w:pPr>
        <w:pStyle w:val="165"/>
        <w:numPr>
          <w:ilvl w:val="0"/>
          <w:numId w:val="0"/>
        </w:numPr>
        <w:spacing w:before="100" w:beforeAutospacing="1" w:after="100" w:afterAutospacing="1"/>
        <w:ind w:firstLine="420" w:firstLineChars="200"/>
        <w:rPr>
          <w:rFonts w:ascii="黑体" w:hAnsi="黑体" w:eastAsia="黑体"/>
        </w:rPr>
      </w:pPr>
      <w:r>
        <w:rPr>
          <w:rFonts w:hint="eastAsia"/>
        </w:rPr>
        <w:t>按照</w:t>
      </w:r>
      <w:r>
        <w:rPr>
          <w:rFonts w:hint="eastAsia" w:ascii="Times New Roman"/>
        </w:rPr>
        <w:t>DB32/T 997的相关规定执行</w:t>
      </w:r>
    </w:p>
    <w:p w14:paraId="054C12CC">
      <w:pPr>
        <w:pStyle w:val="105"/>
        <w:spacing w:before="156" w:after="156"/>
      </w:pPr>
      <w:bookmarkStart w:id="64" w:name="_Toc178597478"/>
      <w:r>
        <w:t>物理防治</w:t>
      </w:r>
      <w:bookmarkEnd w:id="64"/>
    </w:p>
    <w:p w14:paraId="5279C0F9">
      <w:pPr>
        <w:pStyle w:val="65"/>
        <w:spacing w:before="156" w:after="156"/>
        <w:rPr>
          <w:rFonts w:ascii="Times New Roman"/>
        </w:rPr>
      </w:pPr>
      <w:bookmarkStart w:id="65" w:name="_Toc178245064"/>
      <w:bookmarkStart w:id="66" w:name="_Toc178597479"/>
      <w:r>
        <w:rPr>
          <w:rFonts w:ascii="Times New Roman"/>
        </w:rPr>
        <w:t>杀虫灯诱杀</w:t>
      </w:r>
      <w:bookmarkEnd w:id="65"/>
      <w:bookmarkEnd w:id="66"/>
    </w:p>
    <w:p w14:paraId="23ECF862">
      <w:pPr>
        <w:pStyle w:val="56"/>
        <w:ind w:firstLine="420"/>
        <w:rPr>
          <w:rFonts w:ascii="Times New Roman"/>
        </w:rPr>
      </w:pPr>
      <w:r>
        <w:rPr>
          <w:rFonts w:ascii="Times New Roman"/>
        </w:rPr>
        <w:t>从4月</w:t>
      </w:r>
      <w:r>
        <w:rPr>
          <w:rFonts w:hint="eastAsia" w:ascii="Times New Roman"/>
        </w:rPr>
        <w:t>下旬</w:t>
      </w:r>
      <w:r>
        <w:rPr>
          <w:rFonts w:ascii="Times New Roman"/>
        </w:rPr>
        <w:t>至</w:t>
      </w:r>
      <w:r>
        <w:rPr>
          <w:rFonts w:hint="eastAsia" w:ascii="Times New Roman"/>
        </w:rPr>
        <w:t>9</w:t>
      </w:r>
      <w:r>
        <w:rPr>
          <w:rFonts w:ascii="Times New Roman"/>
        </w:rPr>
        <w:t>月</w:t>
      </w:r>
      <w:r>
        <w:rPr>
          <w:rFonts w:hint="eastAsia" w:ascii="Times New Roman"/>
        </w:rPr>
        <w:t>中</w:t>
      </w:r>
      <w:r>
        <w:rPr>
          <w:rFonts w:ascii="Times New Roman"/>
        </w:rPr>
        <w:t>旬，每</w:t>
      </w:r>
      <w:r>
        <w:rPr>
          <w:rFonts w:hint="eastAsia" w:ascii="Times New Roman"/>
        </w:rPr>
        <w:t>1.3 hm</w:t>
      </w:r>
      <w:r>
        <w:rPr>
          <w:rFonts w:hint="eastAsia" w:ascii="Times New Roman"/>
          <w:vertAlign w:val="superscript"/>
        </w:rPr>
        <w:t>2</w:t>
      </w:r>
      <w:r>
        <w:rPr>
          <w:rFonts w:ascii="Times New Roman"/>
        </w:rPr>
        <w:t>~</w:t>
      </w:r>
      <w:r>
        <w:rPr>
          <w:rFonts w:hint="eastAsia" w:ascii="Times New Roman"/>
        </w:rPr>
        <w:t>1.5 hm</w:t>
      </w:r>
      <w:r>
        <w:rPr>
          <w:rFonts w:hint="eastAsia" w:ascii="Times New Roman"/>
          <w:vertAlign w:val="superscript"/>
        </w:rPr>
        <w:t>2</w:t>
      </w:r>
      <w:r>
        <w:rPr>
          <w:rFonts w:ascii="Times New Roman"/>
        </w:rPr>
        <w:t>安装1盏频振式杀虫灯</w:t>
      </w:r>
      <w:r>
        <w:rPr>
          <w:rFonts w:hint="eastAsia" w:ascii="Times New Roman"/>
        </w:rPr>
        <w:t>诱杀金龟子成虫、食叶类刺蛾、卷叶蛾，</w:t>
      </w:r>
      <w:r>
        <w:rPr>
          <w:rFonts w:ascii="Times New Roman"/>
        </w:rPr>
        <w:t>高度1.5</w:t>
      </w:r>
      <w:r>
        <w:rPr>
          <w:rFonts w:hint="eastAsia" w:ascii="Times New Roman"/>
        </w:rPr>
        <w:t xml:space="preserve"> m~</w:t>
      </w:r>
      <w:r>
        <w:rPr>
          <w:rFonts w:ascii="Times New Roman"/>
        </w:rPr>
        <w:t>2</w:t>
      </w:r>
      <w:r>
        <w:rPr>
          <w:rFonts w:hint="eastAsia" w:ascii="Times New Roman"/>
        </w:rPr>
        <w:t>.0 m</w:t>
      </w:r>
      <w:r>
        <w:rPr>
          <w:rFonts w:ascii="Times New Roman"/>
        </w:rPr>
        <w:t>。</w:t>
      </w:r>
      <w:r>
        <w:rPr>
          <w:rFonts w:hint="eastAsia" w:ascii="Times New Roman"/>
        </w:rPr>
        <w:t>日落</w:t>
      </w:r>
      <w:r>
        <w:rPr>
          <w:rFonts w:ascii="Times New Roman"/>
        </w:rPr>
        <w:t>至次日凌晨5点开灯。</w:t>
      </w:r>
    </w:p>
    <w:p w14:paraId="55019EF8">
      <w:pPr>
        <w:pStyle w:val="65"/>
        <w:spacing w:before="156" w:after="156"/>
        <w:rPr>
          <w:rFonts w:ascii="Times New Roman"/>
        </w:rPr>
      </w:pPr>
      <w:bookmarkStart w:id="67" w:name="_Toc178245065"/>
      <w:bookmarkStart w:id="68" w:name="_Toc178597480"/>
      <w:r>
        <w:rPr>
          <w:rFonts w:ascii="Times New Roman"/>
        </w:rPr>
        <w:t>黄</w:t>
      </w:r>
      <w:r>
        <w:rPr>
          <w:rFonts w:hint="eastAsia" w:ascii="Times New Roman"/>
        </w:rPr>
        <w:t>蓝</w:t>
      </w:r>
      <w:r>
        <w:rPr>
          <w:rFonts w:ascii="Times New Roman"/>
        </w:rPr>
        <w:t>板诱杀</w:t>
      </w:r>
      <w:bookmarkEnd w:id="67"/>
      <w:bookmarkEnd w:id="68"/>
    </w:p>
    <w:p w14:paraId="3A3C61FE">
      <w:pPr>
        <w:pStyle w:val="56"/>
        <w:ind w:firstLine="420"/>
        <w:rPr>
          <w:rFonts w:ascii="Times New Roman"/>
        </w:rPr>
      </w:pPr>
      <w:r>
        <w:rPr>
          <w:rFonts w:ascii="Times New Roman"/>
        </w:rPr>
        <w:t>利用黄板</w:t>
      </w:r>
      <w:r>
        <w:rPr>
          <w:rFonts w:hint="eastAsia" w:ascii="Times New Roman"/>
        </w:rPr>
        <w:t>诱杀</w:t>
      </w:r>
      <w:r>
        <w:rPr>
          <w:rFonts w:ascii="Times New Roman"/>
        </w:rPr>
        <w:t>蚜虫</w:t>
      </w:r>
      <w:r>
        <w:rPr>
          <w:rFonts w:hint="eastAsia" w:ascii="Times New Roman"/>
        </w:rPr>
        <w:t>，利用蓝板诱杀</w:t>
      </w:r>
      <w:r>
        <w:rPr>
          <w:rFonts w:ascii="Times New Roman"/>
        </w:rPr>
        <w:t>蓟马。每</w:t>
      </w:r>
      <w:r>
        <w:rPr>
          <w:rFonts w:hint="eastAsia" w:ascii="Times New Roman"/>
        </w:rPr>
        <w:t>667 m</w:t>
      </w:r>
      <w:r>
        <w:rPr>
          <w:rFonts w:hint="eastAsia" w:ascii="Times New Roman"/>
          <w:vertAlign w:val="superscript"/>
        </w:rPr>
        <w:t>2</w:t>
      </w:r>
      <w:r>
        <w:rPr>
          <w:rFonts w:ascii="Times New Roman"/>
        </w:rPr>
        <w:t>悬挂15</w:t>
      </w:r>
      <w:r>
        <w:rPr>
          <w:rFonts w:hint="eastAsia" w:ascii="Times New Roman"/>
        </w:rPr>
        <w:t>片</w:t>
      </w:r>
      <w:r>
        <w:rPr>
          <w:rFonts w:ascii="Times New Roman"/>
        </w:rPr>
        <w:t>~20</w:t>
      </w:r>
      <w:r>
        <w:rPr>
          <w:rFonts w:hint="eastAsia" w:ascii="Times New Roman"/>
        </w:rPr>
        <w:t>片</w:t>
      </w:r>
      <w:r>
        <w:rPr>
          <w:rFonts w:ascii="Times New Roman"/>
        </w:rPr>
        <w:t>，悬挂高度以</w:t>
      </w:r>
      <w:r>
        <w:rPr>
          <w:rFonts w:hint="eastAsia" w:ascii="Times New Roman"/>
        </w:rPr>
        <w:t>高出植株20 cm</w:t>
      </w:r>
      <w:r>
        <w:rPr>
          <w:rFonts w:ascii="Times New Roman"/>
        </w:rPr>
        <w:t>为宜，</w:t>
      </w:r>
      <w:r>
        <w:rPr>
          <w:rFonts w:hint="eastAsia" w:ascii="Times New Roman"/>
        </w:rPr>
        <w:t>根据降雨量和虫害发生情况及时更换。</w:t>
      </w:r>
    </w:p>
    <w:p w14:paraId="39881535">
      <w:pPr>
        <w:pStyle w:val="65"/>
        <w:spacing w:before="156" w:after="156"/>
        <w:rPr>
          <w:rFonts w:ascii="Times New Roman"/>
        </w:rPr>
      </w:pPr>
      <w:bookmarkStart w:id="69" w:name="_Toc178245066"/>
      <w:bookmarkStart w:id="70" w:name="_Toc178597481"/>
      <w:r>
        <w:rPr>
          <w:rFonts w:hint="eastAsia" w:ascii="Times New Roman"/>
        </w:rPr>
        <w:t>食诱剂</w:t>
      </w:r>
      <w:r>
        <w:rPr>
          <w:rFonts w:ascii="Times New Roman"/>
        </w:rPr>
        <w:t>诱杀</w:t>
      </w:r>
      <w:bookmarkEnd w:id="69"/>
      <w:bookmarkEnd w:id="70"/>
    </w:p>
    <w:p w14:paraId="34A2541E">
      <w:pPr>
        <w:pStyle w:val="56"/>
        <w:ind w:firstLine="420"/>
        <w:rPr>
          <w:rFonts w:ascii="Times New Roman"/>
        </w:rPr>
      </w:pPr>
      <w:r>
        <w:rPr>
          <w:rFonts w:hint="eastAsia" w:ascii="Times New Roman"/>
        </w:rPr>
        <w:t>果实收获期</w:t>
      </w:r>
      <w:r>
        <w:rPr>
          <w:rFonts w:ascii="Times New Roman"/>
        </w:rPr>
        <w:t>，每</w:t>
      </w:r>
      <w:r>
        <w:rPr>
          <w:rFonts w:hint="eastAsia" w:ascii="Times New Roman"/>
        </w:rPr>
        <w:t>667 m</w:t>
      </w:r>
      <w:r>
        <w:rPr>
          <w:rFonts w:hint="eastAsia" w:ascii="Times New Roman"/>
          <w:vertAlign w:val="superscript"/>
        </w:rPr>
        <w:t>2</w:t>
      </w:r>
      <w:r>
        <w:rPr>
          <w:rFonts w:ascii="Times New Roman"/>
        </w:rPr>
        <w:t>悬挂5</w:t>
      </w:r>
      <w:r>
        <w:rPr>
          <w:rFonts w:hint="eastAsia" w:ascii="Times New Roman"/>
        </w:rPr>
        <w:t xml:space="preserve"> 个</w:t>
      </w:r>
      <w:r>
        <w:rPr>
          <w:rFonts w:ascii="Times New Roman"/>
        </w:rPr>
        <w:t>~8个</w:t>
      </w:r>
      <w:r>
        <w:rPr>
          <w:rFonts w:hint="eastAsia" w:ascii="Times New Roman"/>
        </w:rPr>
        <w:t>食诱剂</w:t>
      </w:r>
      <w:r>
        <w:rPr>
          <w:rFonts w:ascii="Times New Roman"/>
        </w:rPr>
        <w:t>装置，高度1.5</w:t>
      </w:r>
      <w:r>
        <w:rPr>
          <w:rFonts w:hint="eastAsia" w:ascii="Times New Roman"/>
        </w:rPr>
        <w:t xml:space="preserve"> m</w:t>
      </w:r>
      <w:r>
        <w:rPr>
          <w:rFonts w:ascii="Times New Roman"/>
        </w:rPr>
        <w:t>，每</w:t>
      </w:r>
      <w:r>
        <w:rPr>
          <w:rFonts w:hint="eastAsia" w:ascii="Times New Roman"/>
        </w:rPr>
        <w:t>1</w:t>
      </w:r>
      <w:r>
        <w:rPr>
          <w:rFonts w:ascii="Times New Roman"/>
        </w:rPr>
        <w:t>0</w:t>
      </w:r>
      <w:r>
        <w:rPr>
          <w:rFonts w:hint="eastAsia" w:ascii="Times New Roman"/>
        </w:rPr>
        <w:t xml:space="preserve"> d</w:t>
      </w:r>
      <w:r>
        <w:rPr>
          <w:rFonts w:ascii="Times New Roman"/>
        </w:rPr>
        <w:t>~</w:t>
      </w:r>
      <w:r>
        <w:rPr>
          <w:rFonts w:hint="eastAsia" w:ascii="Times New Roman"/>
        </w:rPr>
        <w:t>15 d</w:t>
      </w:r>
      <w:r>
        <w:rPr>
          <w:rFonts w:ascii="Times New Roman"/>
        </w:rPr>
        <w:t>补充一次引诱剂。</w:t>
      </w:r>
    </w:p>
    <w:p w14:paraId="5281CFC6">
      <w:pPr>
        <w:pStyle w:val="65"/>
        <w:spacing w:before="156" w:after="156"/>
      </w:pPr>
      <w:bookmarkStart w:id="71" w:name="_Toc178245067"/>
      <w:bookmarkStart w:id="72" w:name="_Toc178597482"/>
      <w:r>
        <w:rPr>
          <w:rFonts w:hint="eastAsia" w:ascii="Times New Roman"/>
        </w:rPr>
        <w:t>防虫网</w:t>
      </w:r>
      <w:bookmarkEnd w:id="71"/>
      <w:bookmarkEnd w:id="72"/>
    </w:p>
    <w:p w14:paraId="590CC6B4">
      <w:pPr>
        <w:pStyle w:val="56"/>
        <w:ind w:firstLine="420"/>
      </w:pPr>
      <w:r>
        <w:rPr>
          <w:rFonts w:hint="eastAsia"/>
        </w:rPr>
        <w:t>宜选用80目防虫网阻隔</w:t>
      </w:r>
      <w:r>
        <w:rPr>
          <w:rFonts w:ascii="Times New Roman"/>
        </w:rPr>
        <w:t>食叶类刺蛾、夜蛾</w:t>
      </w:r>
      <w:r>
        <w:rPr>
          <w:rFonts w:hint="eastAsia" w:ascii="Times New Roman"/>
        </w:rPr>
        <w:t>科</w:t>
      </w:r>
      <w:r>
        <w:rPr>
          <w:rFonts w:ascii="Times New Roman"/>
        </w:rPr>
        <w:t>害虫</w:t>
      </w:r>
      <w:r>
        <w:rPr>
          <w:rFonts w:hint="eastAsia" w:ascii="Times New Roman"/>
        </w:rPr>
        <w:t>、蚜虫和蓟马</w:t>
      </w:r>
      <w:r>
        <w:rPr>
          <w:rFonts w:hint="eastAsia"/>
        </w:rPr>
        <w:t>。</w:t>
      </w:r>
    </w:p>
    <w:p w14:paraId="5A2FD72F">
      <w:pPr>
        <w:pStyle w:val="105"/>
        <w:spacing w:before="156" w:after="156"/>
        <w:rPr>
          <w:rFonts w:ascii="Times New Roman"/>
        </w:rPr>
      </w:pPr>
      <w:bookmarkStart w:id="73" w:name="_Toc178597483"/>
      <w:r>
        <w:rPr>
          <w:rFonts w:ascii="Times New Roman"/>
        </w:rPr>
        <w:t>生物防治</w:t>
      </w:r>
      <w:bookmarkEnd w:id="73"/>
    </w:p>
    <w:p w14:paraId="785F0036">
      <w:pPr>
        <w:pStyle w:val="65"/>
        <w:spacing w:before="156" w:after="156"/>
        <w:rPr>
          <w:rFonts w:ascii="Times New Roman"/>
        </w:rPr>
      </w:pPr>
      <w:bookmarkStart w:id="74" w:name="_Toc178245069"/>
      <w:bookmarkStart w:id="75" w:name="_Toc178597484"/>
      <w:r>
        <w:rPr>
          <w:rFonts w:ascii="Times New Roman"/>
        </w:rPr>
        <w:t>生物天敌</w:t>
      </w:r>
      <w:bookmarkEnd w:id="74"/>
      <w:bookmarkEnd w:id="75"/>
    </w:p>
    <w:p w14:paraId="6F980529">
      <w:pPr>
        <w:pStyle w:val="56"/>
        <w:ind w:firstLine="420"/>
        <w:rPr>
          <w:rFonts w:ascii="Times New Roman"/>
        </w:rPr>
      </w:pPr>
      <w:r>
        <w:rPr>
          <w:rFonts w:ascii="Times New Roman"/>
        </w:rPr>
        <w:t>从4月开始，利用赤眼蜂卵卡</w:t>
      </w:r>
      <w:r>
        <w:rPr>
          <w:rFonts w:hint="eastAsia" w:ascii="Times New Roman"/>
        </w:rPr>
        <w:t>（≥3000头蜂/卡）</w:t>
      </w:r>
      <w:r>
        <w:rPr>
          <w:rFonts w:ascii="Times New Roman"/>
        </w:rPr>
        <w:t>防治夜蛾</w:t>
      </w:r>
      <w:r>
        <w:rPr>
          <w:rFonts w:hint="eastAsia" w:ascii="Times New Roman"/>
        </w:rPr>
        <w:t>科</w:t>
      </w:r>
      <w:r>
        <w:rPr>
          <w:rFonts w:ascii="Times New Roman"/>
        </w:rPr>
        <w:t>害虫</w:t>
      </w:r>
      <w:r>
        <w:rPr>
          <w:rFonts w:hint="eastAsia" w:ascii="Times New Roman"/>
        </w:rPr>
        <w:t>，</w:t>
      </w:r>
      <w:r>
        <w:rPr>
          <w:rFonts w:ascii="Times New Roman"/>
        </w:rPr>
        <w:t>每</w:t>
      </w:r>
      <w:r>
        <w:rPr>
          <w:rFonts w:hint="eastAsia" w:ascii="Times New Roman"/>
        </w:rPr>
        <w:t>667 m</w:t>
      </w:r>
      <w:r>
        <w:rPr>
          <w:rFonts w:hint="eastAsia" w:ascii="Times New Roman"/>
          <w:vertAlign w:val="superscript"/>
        </w:rPr>
        <w:t>2</w:t>
      </w:r>
      <w:r>
        <w:rPr>
          <w:rFonts w:ascii="Times New Roman"/>
        </w:rPr>
        <w:t>悬挂赤眼蜂卵卡4</w:t>
      </w:r>
      <w:r>
        <w:rPr>
          <w:rFonts w:hint="eastAsia" w:ascii="Times New Roman"/>
        </w:rPr>
        <w:t>片</w:t>
      </w:r>
      <w:r>
        <w:rPr>
          <w:rFonts w:ascii="Times New Roman"/>
        </w:rPr>
        <w:t>~5</w:t>
      </w:r>
      <w:r>
        <w:rPr>
          <w:rFonts w:hint="eastAsia" w:ascii="Times New Roman"/>
        </w:rPr>
        <w:t>片</w:t>
      </w:r>
      <w:r>
        <w:rPr>
          <w:rFonts w:ascii="Times New Roman"/>
        </w:rPr>
        <w:t>，高度1.5</w:t>
      </w:r>
      <w:r>
        <w:rPr>
          <w:rFonts w:hint="eastAsia" w:ascii="Times New Roman"/>
        </w:rPr>
        <w:t xml:space="preserve"> m</w:t>
      </w:r>
      <w:r>
        <w:rPr>
          <w:rFonts w:ascii="Times New Roman"/>
        </w:rPr>
        <w:t>。整个生长季节</w:t>
      </w:r>
      <w:r>
        <w:rPr>
          <w:rFonts w:hint="eastAsia" w:ascii="Times New Roman"/>
        </w:rPr>
        <w:t>更换</w:t>
      </w:r>
      <w:r>
        <w:rPr>
          <w:rFonts w:ascii="Times New Roman"/>
        </w:rPr>
        <w:t>5</w:t>
      </w:r>
      <w:r>
        <w:rPr>
          <w:rFonts w:hint="eastAsia" w:ascii="Times New Roman"/>
        </w:rPr>
        <w:t>次</w:t>
      </w:r>
      <w:r>
        <w:rPr>
          <w:rFonts w:ascii="Times New Roman"/>
        </w:rPr>
        <w:t>~6次。</w:t>
      </w:r>
    </w:p>
    <w:p w14:paraId="360AE550">
      <w:pPr>
        <w:pStyle w:val="65"/>
        <w:spacing w:before="156" w:after="156"/>
        <w:rPr>
          <w:rFonts w:ascii="Times New Roman"/>
        </w:rPr>
      </w:pPr>
      <w:bookmarkStart w:id="76" w:name="_Toc178245070"/>
      <w:bookmarkStart w:id="77" w:name="_Toc178597485"/>
      <w:r>
        <w:rPr>
          <w:rFonts w:ascii="Times New Roman"/>
        </w:rPr>
        <w:t>微生物农药</w:t>
      </w:r>
      <w:bookmarkEnd w:id="76"/>
      <w:bookmarkEnd w:id="77"/>
    </w:p>
    <w:p w14:paraId="5B0C0BCC">
      <w:pPr>
        <w:pStyle w:val="56"/>
        <w:ind w:firstLine="420"/>
        <w:rPr>
          <w:rFonts w:ascii="Times New Roman"/>
        </w:rPr>
      </w:pPr>
      <w:r>
        <w:rPr>
          <w:rFonts w:ascii="Times New Roman"/>
        </w:rPr>
        <w:t>利用</w:t>
      </w:r>
      <w:r>
        <w:rPr>
          <w:rFonts w:hint="eastAsia" w:ascii="Times New Roman"/>
        </w:rPr>
        <w:t>3亿C</w:t>
      </w:r>
      <w:r>
        <w:rPr>
          <w:rFonts w:ascii="Times New Roman"/>
        </w:rPr>
        <w:t>FU/</w:t>
      </w:r>
      <w:r>
        <w:rPr>
          <w:rFonts w:hint="eastAsia" w:ascii="Times New Roman"/>
        </w:rPr>
        <w:t>g 哈茨木霉可湿性粉剂，或1</w:t>
      </w:r>
      <w:r>
        <w:rPr>
          <w:rFonts w:ascii="Times New Roman"/>
        </w:rPr>
        <w:t>000</w:t>
      </w:r>
      <w:r>
        <w:rPr>
          <w:rFonts w:hint="eastAsia" w:ascii="Times New Roman"/>
        </w:rPr>
        <w:t>亿活芽孢/g 枯草芽孢杆菌可湿性粉剂5</w:t>
      </w:r>
      <w:r>
        <w:rPr>
          <w:rFonts w:ascii="Times New Roman"/>
        </w:rPr>
        <w:t>00</w:t>
      </w:r>
      <w:r>
        <w:rPr>
          <w:rFonts w:hint="eastAsia" w:ascii="Times New Roman"/>
        </w:rPr>
        <w:t>倍</w:t>
      </w:r>
      <w:r>
        <w:rPr>
          <w:rFonts w:ascii="Times New Roman"/>
        </w:rPr>
        <w:t>~750</w:t>
      </w:r>
      <w:r>
        <w:rPr>
          <w:rFonts w:hint="eastAsia" w:ascii="Times New Roman"/>
        </w:rPr>
        <w:t>倍液，或3亿C</w:t>
      </w:r>
      <w:r>
        <w:rPr>
          <w:rFonts w:ascii="Times New Roman"/>
        </w:rPr>
        <w:t>FU/</w:t>
      </w:r>
      <w:r>
        <w:rPr>
          <w:rFonts w:hint="eastAsia" w:ascii="Times New Roman"/>
        </w:rPr>
        <w:t>g 解淀粉芽孢杆菌悬浮剂5</w:t>
      </w:r>
      <w:r>
        <w:rPr>
          <w:rFonts w:ascii="Times New Roman"/>
        </w:rPr>
        <w:t>0</w:t>
      </w:r>
      <w:r>
        <w:rPr>
          <w:rFonts w:hint="eastAsia" w:ascii="Times New Roman"/>
        </w:rPr>
        <w:t>倍</w:t>
      </w:r>
      <w:r>
        <w:rPr>
          <w:rFonts w:ascii="Times New Roman"/>
        </w:rPr>
        <w:t>~100</w:t>
      </w:r>
      <w:r>
        <w:rPr>
          <w:rFonts w:hint="eastAsia" w:ascii="Times New Roman"/>
        </w:rPr>
        <w:t>倍液</w:t>
      </w:r>
      <w:r>
        <w:rPr>
          <w:rFonts w:ascii="Times New Roman"/>
        </w:rPr>
        <w:t>防治根腐病、灰霉病、叶斑病等病害。</w:t>
      </w:r>
      <w:r>
        <w:rPr>
          <w:rFonts w:hint="eastAsia" w:ascii="Times New Roman"/>
        </w:rPr>
        <w:t>利用</w:t>
      </w:r>
      <w:r>
        <w:rPr>
          <w:rFonts w:ascii="Times New Roman"/>
        </w:rPr>
        <w:t>150亿个孢子/</w:t>
      </w:r>
      <w:r>
        <w:rPr>
          <w:rFonts w:hint="eastAsia" w:ascii="Times New Roman"/>
        </w:rPr>
        <w:t>g 球孢白僵菌可湿性粉剂2</w:t>
      </w:r>
      <w:r>
        <w:rPr>
          <w:rFonts w:ascii="Times New Roman"/>
        </w:rPr>
        <w:t>00</w:t>
      </w:r>
      <w:r>
        <w:rPr>
          <w:rFonts w:hint="eastAsia" w:ascii="Times New Roman"/>
        </w:rPr>
        <w:t xml:space="preserve"> g</w:t>
      </w:r>
      <w:r>
        <w:rPr>
          <w:rFonts w:ascii="Times New Roman"/>
        </w:rPr>
        <w:t>~300</w:t>
      </w:r>
      <w:r>
        <w:rPr>
          <w:rFonts w:hint="eastAsia" w:ascii="Times New Roman"/>
        </w:rPr>
        <w:t xml:space="preserve"> g/667 m</w:t>
      </w:r>
      <w:r>
        <w:rPr>
          <w:rFonts w:hint="eastAsia" w:ascii="Times New Roman"/>
          <w:vertAlign w:val="superscript"/>
        </w:rPr>
        <w:t>2</w:t>
      </w:r>
      <w:r>
        <w:rPr>
          <w:rFonts w:hint="eastAsia" w:ascii="Times New Roman"/>
        </w:rPr>
        <w:t>灌根防治蛴螬。1</w:t>
      </w:r>
      <w:r>
        <w:rPr>
          <w:rFonts w:ascii="Times New Roman"/>
        </w:rPr>
        <w:t>6000IU/</w:t>
      </w:r>
      <w:r>
        <w:rPr>
          <w:rFonts w:hint="eastAsia" w:ascii="Times New Roman"/>
        </w:rPr>
        <w:t>mg 苏云金杆菌可湿性粉剂3</w:t>
      </w:r>
      <w:r>
        <w:rPr>
          <w:rFonts w:ascii="Times New Roman"/>
        </w:rPr>
        <w:t>00</w:t>
      </w:r>
      <w:r>
        <w:rPr>
          <w:rFonts w:hint="eastAsia" w:ascii="Times New Roman"/>
        </w:rPr>
        <w:t>倍</w:t>
      </w:r>
      <w:r>
        <w:rPr>
          <w:rFonts w:ascii="Times New Roman"/>
        </w:rPr>
        <w:t>~500</w:t>
      </w:r>
      <w:r>
        <w:rPr>
          <w:rFonts w:hint="eastAsia" w:ascii="Times New Roman"/>
        </w:rPr>
        <w:t>倍液叶面喷雾防治夜蛾科害虫，施用时期为卵孵盛期至低龄幼虫盛发期。</w:t>
      </w:r>
    </w:p>
    <w:p w14:paraId="782D73DD">
      <w:pPr>
        <w:pStyle w:val="105"/>
        <w:spacing w:before="156" w:after="156"/>
      </w:pPr>
      <w:bookmarkStart w:id="78" w:name="_Toc178597486"/>
      <w:r>
        <w:t>化学防治</w:t>
      </w:r>
      <w:bookmarkEnd w:id="78"/>
    </w:p>
    <w:p w14:paraId="02C2CE90">
      <w:pPr>
        <w:pStyle w:val="65"/>
        <w:spacing w:before="156" w:after="156"/>
        <w:rPr>
          <w:rFonts w:ascii="Times New Roman"/>
        </w:rPr>
      </w:pPr>
      <w:bookmarkStart w:id="79" w:name="_Toc178245072"/>
      <w:bookmarkStart w:id="80" w:name="_Toc178597487"/>
      <w:r>
        <w:rPr>
          <w:rFonts w:ascii="Times New Roman"/>
        </w:rPr>
        <w:t>灰霉病</w:t>
      </w:r>
      <w:bookmarkEnd w:id="79"/>
      <w:bookmarkEnd w:id="80"/>
    </w:p>
    <w:p w14:paraId="067B25BC">
      <w:pPr>
        <w:pStyle w:val="56"/>
        <w:ind w:firstLine="420"/>
        <w:rPr>
          <w:rFonts w:ascii="Times New Roman"/>
        </w:rPr>
      </w:pPr>
      <w:r>
        <w:rPr>
          <w:rFonts w:ascii="Times New Roman"/>
        </w:rPr>
        <w:t>发病初期，宜选用50%克菌丹可湿性粉剂400倍~600倍液，或400 g/L嘧霉胺悬浮剂800</w:t>
      </w:r>
      <w:r>
        <w:rPr>
          <w:rFonts w:hint="eastAsia" w:ascii="Times New Roman"/>
        </w:rPr>
        <w:t>倍</w:t>
      </w:r>
      <w:r>
        <w:rPr>
          <w:rFonts w:ascii="Times New Roman"/>
        </w:rPr>
        <w:t>~1000倍液，或40%腐霉利可湿性粉剂750倍~1000倍液进行防治。发病中后期宜选用38%唑醚·啶酰菌胺水分散性粒剂1000倍~2000倍液，或42.4%唑醚·氟酰胺悬浮剂2500倍~4000倍液，或62%嘧菌环胺·咯菌腈水分散性粒剂1500倍~2000倍液，进行整株喷雾，每次间隔7 d~10 d，连喷2</w:t>
      </w:r>
      <w:r>
        <w:rPr>
          <w:rFonts w:hint="eastAsia" w:ascii="Times New Roman"/>
        </w:rPr>
        <w:t>次</w:t>
      </w:r>
      <w:r>
        <w:rPr>
          <w:rFonts w:ascii="Times New Roman"/>
        </w:rPr>
        <w:t>~3次。</w:t>
      </w:r>
    </w:p>
    <w:p w14:paraId="3D635259">
      <w:pPr>
        <w:pStyle w:val="165"/>
        <w:rPr>
          <w:rFonts w:ascii="黑体" w:hAnsi="黑体" w:eastAsia="黑体"/>
        </w:rPr>
      </w:pPr>
      <w:r>
        <w:rPr>
          <w:rFonts w:ascii="黑体" w:hAnsi="黑体" w:eastAsia="黑体"/>
        </w:rPr>
        <w:t>枝枯病</w:t>
      </w:r>
    </w:p>
    <w:p w14:paraId="265B01E2">
      <w:pPr>
        <w:pStyle w:val="56"/>
        <w:ind w:firstLine="420"/>
        <w:rPr>
          <w:rFonts w:ascii="Times New Roman"/>
        </w:rPr>
      </w:pPr>
      <w:bookmarkStart w:id="81" w:name="_Hlk157605861"/>
      <w:r>
        <w:rPr>
          <w:rFonts w:ascii="Times New Roman"/>
        </w:rPr>
        <w:t>宜选用40%春雷·噻唑锌悬浮剂800倍~1000倍液，或2%春雷霉素水剂600倍～800倍液，</w:t>
      </w:r>
      <w:bookmarkEnd w:id="81"/>
      <w:bookmarkStart w:id="82" w:name="_Hlk157605887"/>
      <w:r>
        <w:rPr>
          <w:rFonts w:ascii="Times New Roman"/>
        </w:rPr>
        <w:t>或3%中生菌素粉剂400倍～600倍液，或3%噻霉酮粉剂800倍～1000倍液，进行整株喷雾，</w:t>
      </w:r>
      <w:bookmarkEnd w:id="82"/>
      <w:r>
        <w:rPr>
          <w:rFonts w:ascii="Times New Roman"/>
        </w:rPr>
        <w:t>每间隔7 d~10 d喷施1次，连喷1</w:t>
      </w:r>
      <w:r>
        <w:rPr>
          <w:rFonts w:hint="eastAsia" w:ascii="Times New Roman"/>
        </w:rPr>
        <w:t>次</w:t>
      </w:r>
      <w:r>
        <w:rPr>
          <w:rFonts w:ascii="Times New Roman"/>
        </w:rPr>
        <w:t>~2次。</w:t>
      </w:r>
    </w:p>
    <w:p w14:paraId="0C63F254">
      <w:pPr>
        <w:pStyle w:val="65"/>
        <w:spacing w:before="156" w:after="156"/>
        <w:rPr>
          <w:rFonts w:ascii="Times New Roman"/>
        </w:rPr>
      </w:pPr>
      <w:bookmarkStart w:id="83" w:name="_Toc178245073"/>
      <w:bookmarkStart w:id="84" w:name="_Toc178597488"/>
      <w:r>
        <w:rPr>
          <w:rFonts w:ascii="Times New Roman"/>
        </w:rPr>
        <w:t>叶斑病</w:t>
      </w:r>
      <w:bookmarkEnd w:id="83"/>
      <w:bookmarkEnd w:id="84"/>
    </w:p>
    <w:p w14:paraId="71542EF8">
      <w:pPr>
        <w:pStyle w:val="56"/>
        <w:ind w:firstLine="420"/>
      </w:pPr>
      <w:r>
        <w:rPr>
          <w:rFonts w:ascii="Times New Roman"/>
        </w:rPr>
        <w:t>宜选用14%络氨铜水剂150倍~300倍液，或77%氢氧化铜可湿性粉剂300倍~500倍液，或35%苯甲·嘧菌酯悬浮剂2000倍~3000倍液，或30%醚菌酯可湿性粉剂1000倍~1500倍液，进行叶面喷施，每间隔7 d~10 d喷施1次，连喷2次</w:t>
      </w:r>
      <w:r>
        <w:rPr>
          <w:rFonts w:hint="eastAsia"/>
        </w:rPr>
        <w:t>。</w:t>
      </w:r>
    </w:p>
    <w:p w14:paraId="459AD19C">
      <w:pPr>
        <w:pStyle w:val="65"/>
        <w:spacing w:before="156" w:after="156"/>
        <w:rPr>
          <w:rFonts w:ascii="Times New Roman"/>
        </w:rPr>
      </w:pPr>
      <w:bookmarkStart w:id="85" w:name="_Toc178245074"/>
      <w:bookmarkStart w:id="86" w:name="_Toc178597489"/>
      <w:r>
        <w:rPr>
          <w:rFonts w:ascii="Times New Roman"/>
        </w:rPr>
        <w:t>根腐病</w:t>
      </w:r>
      <w:bookmarkEnd w:id="85"/>
      <w:bookmarkEnd w:id="86"/>
    </w:p>
    <w:p w14:paraId="5F682EB4">
      <w:pPr>
        <w:pStyle w:val="56"/>
        <w:ind w:firstLine="420"/>
      </w:pPr>
      <w:r>
        <w:rPr>
          <w:rFonts w:ascii="Times New Roman"/>
        </w:rPr>
        <w:t>宜选用30%精甲·噁霉灵水剂50</w:t>
      </w:r>
      <w:r>
        <w:rPr>
          <w:rFonts w:hint="eastAsia" w:ascii="Times New Roman"/>
        </w:rPr>
        <w:t xml:space="preserve"> mL</w:t>
      </w:r>
      <w:r>
        <w:rPr>
          <w:rFonts w:ascii="Times New Roman"/>
        </w:rPr>
        <w:t>~100 m</w:t>
      </w:r>
      <w:r>
        <w:rPr>
          <w:rFonts w:hint="eastAsia" w:ascii="Times New Roman"/>
        </w:rPr>
        <w:t>L</w:t>
      </w:r>
      <w:r>
        <w:rPr>
          <w:rFonts w:ascii="Times New Roman"/>
        </w:rPr>
        <w:t>/667 m</w:t>
      </w:r>
      <w:r>
        <w:rPr>
          <w:rFonts w:ascii="Times New Roman"/>
          <w:vertAlign w:val="superscript"/>
        </w:rPr>
        <w:t>2</w:t>
      </w:r>
      <w:r>
        <w:rPr>
          <w:rFonts w:ascii="Times New Roman"/>
        </w:rPr>
        <w:t>，进行灌根。或80%多菌灵可湿性粉剂50</w:t>
      </w:r>
      <w:r>
        <w:rPr>
          <w:rFonts w:hint="eastAsia" w:ascii="Times New Roman"/>
        </w:rPr>
        <w:t xml:space="preserve"> g</w:t>
      </w:r>
      <w:r>
        <w:rPr>
          <w:rFonts w:ascii="Times New Roman"/>
        </w:rPr>
        <w:t>~100 g/667 m</w:t>
      </w:r>
      <w:r>
        <w:rPr>
          <w:rFonts w:ascii="Times New Roman"/>
          <w:vertAlign w:val="superscript"/>
        </w:rPr>
        <w:t>2</w:t>
      </w:r>
      <w:r>
        <w:rPr>
          <w:rFonts w:ascii="Times New Roman"/>
        </w:rPr>
        <w:t>，或0.6%咯菌·嘧菌酯颗粒剂5</w:t>
      </w:r>
      <w:r>
        <w:rPr>
          <w:rFonts w:hint="eastAsia" w:ascii="Times New Roman"/>
        </w:rPr>
        <w:t xml:space="preserve"> kg</w:t>
      </w:r>
      <w:r>
        <w:rPr>
          <w:rFonts w:ascii="Times New Roman"/>
        </w:rPr>
        <w:t>~10 kg/667 m</w:t>
      </w:r>
      <w:r>
        <w:rPr>
          <w:rFonts w:ascii="Times New Roman"/>
          <w:vertAlign w:val="superscript"/>
        </w:rPr>
        <w:t>2</w:t>
      </w:r>
      <w:r>
        <w:rPr>
          <w:rFonts w:ascii="Times New Roman"/>
        </w:rPr>
        <w:t>，或0.8%精甲·嘧菌酯颗粒剂5</w:t>
      </w:r>
      <w:r>
        <w:rPr>
          <w:rFonts w:hint="eastAsia" w:ascii="Times New Roman"/>
        </w:rPr>
        <w:t xml:space="preserve"> kg</w:t>
      </w:r>
      <w:r>
        <w:rPr>
          <w:rFonts w:ascii="Times New Roman"/>
        </w:rPr>
        <w:t>~10 kg/667 m</w:t>
      </w:r>
      <w:r>
        <w:rPr>
          <w:rFonts w:ascii="Times New Roman"/>
          <w:vertAlign w:val="superscript"/>
        </w:rPr>
        <w:t>2</w:t>
      </w:r>
      <w:r>
        <w:rPr>
          <w:rFonts w:hint="eastAsia"/>
        </w:rPr>
        <w:t>，进行撒施。</w:t>
      </w:r>
    </w:p>
    <w:p w14:paraId="3AD491D9">
      <w:pPr>
        <w:pStyle w:val="65"/>
        <w:spacing w:before="156" w:after="156"/>
        <w:rPr>
          <w:rFonts w:ascii="Times New Roman"/>
        </w:rPr>
      </w:pPr>
      <w:bookmarkStart w:id="87" w:name="_Toc178245075"/>
      <w:bookmarkStart w:id="88" w:name="_Toc178597490"/>
      <w:r>
        <w:rPr>
          <w:rFonts w:hint="eastAsia" w:ascii="Times New Roman"/>
        </w:rPr>
        <w:t>白粉病和锈病</w:t>
      </w:r>
      <w:bookmarkEnd w:id="87"/>
      <w:bookmarkEnd w:id="88"/>
    </w:p>
    <w:p w14:paraId="07EBFF3D">
      <w:pPr>
        <w:pStyle w:val="56"/>
        <w:ind w:firstLine="420"/>
        <w:rPr>
          <w:rFonts w:ascii="Times New Roman"/>
        </w:rPr>
      </w:pPr>
      <w:r>
        <w:rPr>
          <w:rFonts w:ascii="Times New Roman"/>
        </w:rPr>
        <w:t>宜选用25%己唑醇悬浮剂1500倍~2500倍液，或36%啶酰菌胺·乙嘧酚悬浮剂750倍~1000倍液，或12.5%腈菌唑乳油1000倍~1500倍液，或60%丙森锌·氟唑菌酰胺水分散粒剂1000倍~1500倍液，进行叶面喷施，每间隔7 d~10 d喷施1次，连喷2次。</w:t>
      </w:r>
    </w:p>
    <w:p w14:paraId="03AB6CA1">
      <w:pPr>
        <w:pStyle w:val="65"/>
        <w:spacing w:before="156" w:after="156"/>
        <w:rPr>
          <w:rFonts w:ascii="Times New Roman"/>
        </w:rPr>
      </w:pPr>
      <w:bookmarkStart w:id="89" w:name="_Toc178245076"/>
      <w:bookmarkStart w:id="90" w:name="_Toc178597491"/>
      <w:r>
        <w:rPr>
          <w:rFonts w:ascii="Times New Roman"/>
        </w:rPr>
        <w:t>食叶类刺蛾</w:t>
      </w:r>
      <w:r>
        <w:rPr>
          <w:rFonts w:hint="eastAsia" w:ascii="Times New Roman"/>
        </w:rPr>
        <w:t>和夜蛾科害虫</w:t>
      </w:r>
      <w:bookmarkEnd w:id="89"/>
      <w:bookmarkEnd w:id="90"/>
    </w:p>
    <w:p w14:paraId="62730912">
      <w:pPr>
        <w:pStyle w:val="56"/>
        <w:ind w:firstLine="420"/>
      </w:pPr>
      <w:r>
        <w:rPr>
          <w:rFonts w:hint="eastAsia" w:ascii="Times New Roman"/>
          <w:kern w:val="2"/>
          <w:szCs w:val="24"/>
        </w:rPr>
        <w:t>在</w:t>
      </w:r>
      <w:r>
        <w:rPr>
          <w:rFonts w:hint="eastAsia" w:ascii="Times New Roman"/>
        </w:rPr>
        <w:t>卵孵盛期至低龄幼虫盛发期，</w:t>
      </w:r>
      <w:r>
        <w:rPr>
          <w:rFonts w:hint="eastAsia" w:ascii="Times New Roman"/>
          <w:kern w:val="2"/>
          <w:szCs w:val="24"/>
        </w:rPr>
        <w:t>宜选用6</w:t>
      </w:r>
      <w:r>
        <w:rPr>
          <w:rFonts w:ascii="Times New Roman"/>
          <w:kern w:val="2"/>
          <w:szCs w:val="24"/>
        </w:rPr>
        <w:t>%</w:t>
      </w:r>
      <w:r>
        <w:rPr>
          <w:rFonts w:hint="eastAsia" w:ascii="Times New Roman"/>
          <w:kern w:val="2"/>
          <w:szCs w:val="24"/>
        </w:rPr>
        <w:t>氯虫苯甲酰胺悬浮剂5</w:t>
      </w:r>
      <w:r>
        <w:rPr>
          <w:rFonts w:ascii="Times New Roman"/>
          <w:kern w:val="2"/>
          <w:szCs w:val="24"/>
        </w:rPr>
        <w:t>00</w:t>
      </w:r>
      <w:r>
        <w:rPr>
          <w:rFonts w:hint="eastAsia"/>
        </w:rPr>
        <w:t>倍</w:t>
      </w:r>
      <w:r>
        <w:rPr>
          <w:rFonts w:ascii="Times New Roman"/>
        </w:rPr>
        <w:t>~</w:t>
      </w:r>
      <w:r>
        <w:rPr>
          <w:rFonts w:ascii="Times New Roman"/>
          <w:kern w:val="2"/>
          <w:szCs w:val="24"/>
        </w:rPr>
        <w:t>750</w:t>
      </w:r>
      <w:r>
        <w:rPr>
          <w:rFonts w:hint="eastAsia" w:ascii="Times New Roman"/>
          <w:kern w:val="2"/>
          <w:szCs w:val="24"/>
        </w:rPr>
        <w:t>倍液，或5</w:t>
      </w:r>
      <w:r>
        <w:rPr>
          <w:rFonts w:ascii="Times New Roman"/>
          <w:kern w:val="2"/>
          <w:szCs w:val="24"/>
        </w:rPr>
        <w:t>%</w:t>
      </w:r>
      <w:r>
        <w:rPr>
          <w:rFonts w:hint="eastAsia" w:ascii="Times New Roman"/>
          <w:kern w:val="2"/>
          <w:szCs w:val="24"/>
        </w:rPr>
        <w:t>甲氨基阿维菌素微乳剂</w:t>
      </w:r>
      <w:r>
        <w:rPr>
          <w:rFonts w:ascii="Times New Roman"/>
          <w:kern w:val="2"/>
          <w:szCs w:val="24"/>
        </w:rPr>
        <w:t>1500</w:t>
      </w:r>
      <w:r>
        <w:rPr>
          <w:rFonts w:hint="eastAsia"/>
        </w:rPr>
        <w:t>倍</w:t>
      </w:r>
      <w:r>
        <w:rPr>
          <w:rFonts w:ascii="Times New Roman"/>
        </w:rPr>
        <w:t>~</w:t>
      </w:r>
      <w:r>
        <w:rPr>
          <w:rFonts w:ascii="Times New Roman"/>
          <w:kern w:val="2"/>
          <w:szCs w:val="24"/>
        </w:rPr>
        <w:t>3000</w:t>
      </w:r>
      <w:r>
        <w:rPr>
          <w:rFonts w:hint="eastAsia" w:ascii="Times New Roman"/>
          <w:kern w:val="2"/>
          <w:szCs w:val="24"/>
        </w:rPr>
        <w:t>倍液，或</w:t>
      </w:r>
      <w:r>
        <w:rPr>
          <w:rFonts w:ascii="Times New Roman"/>
          <w:kern w:val="2"/>
          <w:szCs w:val="24"/>
        </w:rPr>
        <w:t>12%甲维</w:t>
      </w:r>
      <w:r>
        <w:t>·</w:t>
      </w:r>
      <w:r>
        <w:rPr>
          <w:rFonts w:ascii="Times New Roman"/>
          <w:kern w:val="2"/>
          <w:szCs w:val="24"/>
        </w:rPr>
        <w:t>虫螨腈悬浮剂 800</w:t>
      </w:r>
      <w:r>
        <w:rPr>
          <w:rFonts w:hint="eastAsia"/>
        </w:rPr>
        <w:t>倍</w:t>
      </w:r>
      <w:r>
        <w:rPr>
          <w:rFonts w:ascii="Times New Roman"/>
          <w:kern w:val="2"/>
          <w:szCs w:val="24"/>
        </w:rPr>
        <w:t>~1500倍</w:t>
      </w:r>
      <w:r>
        <w:rPr>
          <w:rFonts w:hint="eastAsia" w:ascii="Times New Roman"/>
          <w:kern w:val="2"/>
          <w:szCs w:val="24"/>
        </w:rPr>
        <w:t>液，或</w:t>
      </w:r>
      <w:r>
        <w:rPr>
          <w:rFonts w:ascii="Times New Roman"/>
          <w:kern w:val="2"/>
          <w:szCs w:val="24"/>
        </w:rPr>
        <w:t>25%灭幼脲悬浮剂1500</w:t>
      </w:r>
      <w:r>
        <w:rPr>
          <w:rFonts w:hint="eastAsia"/>
        </w:rPr>
        <w:t>倍</w:t>
      </w:r>
      <w:r>
        <w:rPr>
          <w:rFonts w:ascii="Times New Roman"/>
          <w:kern w:val="2"/>
          <w:szCs w:val="24"/>
        </w:rPr>
        <w:t>~2000倍</w:t>
      </w:r>
      <w:r>
        <w:rPr>
          <w:rFonts w:hint="eastAsia" w:ascii="Times New Roman"/>
          <w:kern w:val="2"/>
          <w:szCs w:val="24"/>
        </w:rPr>
        <w:t>液，或3</w:t>
      </w:r>
      <w:r>
        <w:rPr>
          <w:rFonts w:ascii="Times New Roman"/>
          <w:kern w:val="2"/>
          <w:szCs w:val="24"/>
        </w:rPr>
        <w:t>0%</w:t>
      </w:r>
      <w:r>
        <w:rPr>
          <w:rFonts w:hint="eastAsia" w:ascii="Times New Roman"/>
          <w:kern w:val="2"/>
          <w:szCs w:val="24"/>
        </w:rPr>
        <w:t>虫螨腈悬浮剂3</w:t>
      </w:r>
      <w:r>
        <w:rPr>
          <w:rFonts w:ascii="Times New Roman"/>
          <w:kern w:val="2"/>
          <w:szCs w:val="24"/>
        </w:rPr>
        <w:t>000</w:t>
      </w:r>
      <w:r>
        <w:rPr>
          <w:rFonts w:hint="eastAsia"/>
        </w:rPr>
        <w:t>倍</w:t>
      </w:r>
      <w:r>
        <w:rPr>
          <w:rFonts w:ascii="Times New Roman"/>
        </w:rPr>
        <w:t>~</w:t>
      </w:r>
      <w:r>
        <w:rPr>
          <w:rFonts w:ascii="Times New Roman"/>
          <w:kern w:val="2"/>
          <w:szCs w:val="24"/>
        </w:rPr>
        <w:t>4000</w:t>
      </w:r>
      <w:r>
        <w:rPr>
          <w:rFonts w:hint="eastAsia" w:ascii="Times New Roman"/>
          <w:kern w:val="2"/>
          <w:szCs w:val="24"/>
        </w:rPr>
        <w:t>倍液，或</w:t>
      </w:r>
      <w:r>
        <w:rPr>
          <w:rFonts w:ascii="Times New Roman"/>
          <w:kern w:val="2"/>
          <w:szCs w:val="24"/>
        </w:rPr>
        <w:t>5%高效氯</w:t>
      </w:r>
      <w:r>
        <w:rPr>
          <w:rFonts w:hint="eastAsia" w:ascii="Times New Roman"/>
          <w:kern w:val="2"/>
          <w:szCs w:val="24"/>
        </w:rPr>
        <w:t>氟</w:t>
      </w:r>
      <w:r>
        <w:rPr>
          <w:rFonts w:ascii="Times New Roman"/>
          <w:kern w:val="2"/>
          <w:szCs w:val="24"/>
        </w:rPr>
        <w:t>氰菊酯乳油1500</w:t>
      </w:r>
      <w:r>
        <w:rPr>
          <w:rFonts w:hint="eastAsia"/>
        </w:rPr>
        <w:t>倍</w:t>
      </w:r>
      <w:r>
        <w:rPr>
          <w:rFonts w:ascii="Times New Roman"/>
          <w:kern w:val="2"/>
          <w:szCs w:val="24"/>
        </w:rPr>
        <w:t>~2000倍液</w:t>
      </w:r>
      <w:r>
        <w:rPr>
          <w:rFonts w:hint="eastAsia" w:ascii="Times New Roman"/>
          <w:kern w:val="2"/>
          <w:szCs w:val="24"/>
        </w:rPr>
        <w:t>，进行叶面喷雾，轮换使用不同作用机制药品，每间隔7 d</w:t>
      </w:r>
      <w:r>
        <w:rPr>
          <w:rFonts w:ascii="Times New Roman"/>
        </w:rPr>
        <w:t>~</w:t>
      </w:r>
      <w:r>
        <w:rPr>
          <w:rFonts w:ascii="Times New Roman"/>
          <w:kern w:val="2"/>
          <w:szCs w:val="24"/>
        </w:rPr>
        <w:t>10</w:t>
      </w:r>
      <w:r>
        <w:rPr>
          <w:rFonts w:hint="eastAsia" w:ascii="Times New Roman"/>
          <w:kern w:val="2"/>
          <w:szCs w:val="24"/>
        </w:rPr>
        <w:t xml:space="preserve"> d喷施一次，连喷2次</w:t>
      </w:r>
      <w:r>
        <w:rPr>
          <w:rFonts w:ascii="Times New Roman"/>
        </w:rPr>
        <w:t>~3</w:t>
      </w:r>
      <w:r>
        <w:t>次。</w:t>
      </w:r>
    </w:p>
    <w:p w14:paraId="722FD44C">
      <w:pPr>
        <w:pStyle w:val="65"/>
        <w:spacing w:before="156" w:after="156"/>
        <w:rPr>
          <w:rFonts w:ascii="Times New Roman"/>
        </w:rPr>
      </w:pPr>
      <w:bookmarkStart w:id="91" w:name="_Toc178245077"/>
      <w:bookmarkStart w:id="92" w:name="_Toc178597492"/>
      <w:r>
        <w:rPr>
          <w:rFonts w:ascii="Times New Roman"/>
        </w:rPr>
        <w:t>蛴螬</w:t>
      </w:r>
      <w:bookmarkEnd w:id="91"/>
      <w:bookmarkEnd w:id="92"/>
    </w:p>
    <w:p w14:paraId="2FF062DE">
      <w:pPr>
        <w:pStyle w:val="56"/>
        <w:ind w:firstLine="420"/>
      </w:pPr>
      <w:r>
        <w:rPr>
          <w:rFonts w:ascii="Times New Roman"/>
        </w:rPr>
        <w:t>幼虫期，宜选用50%辛硫磷乳油1000倍液，或80%敌百虫可湿性粉剂800倍液灌根，灌根时每株施用200</w:t>
      </w:r>
      <w:r>
        <w:rPr>
          <w:rFonts w:hint="eastAsia" w:ascii="Times New Roman"/>
        </w:rPr>
        <w:t xml:space="preserve"> mL </w:t>
      </w:r>
      <w:r>
        <w:rPr>
          <w:rFonts w:ascii="Times New Roman"/>
        </w:rPr>
        <w:t xml:space="preserve">~500 </w:t>
      </w:r>
      <w:r>
        <w:rPr>
          <w:rFonts w:hint="eastAsia" w:ascii="Times New Roman"/>
        </w:rPr>
        <w:t>mL</w:t>
      </w:r>
      <w:r>
        <w:rPr>
          <w:rFonts w:ascii="Times New Roman"/>
        </w:rPr>
        <w:t>药剂稀释液，间隔7 d~10d再灌根一次</w:t>
      </w:r>
      <w:r>
        <w:t>。</w:t>
      </w:r>
    </w:p>
    <w:p w14:paraId="340DB0D9">
      <w:pPr>
        <w:pStyle w:val="65"/>
        <w:spacing w:before="156" w:after="156"/>
        <w:rPr>
          <w:rFonts w:ascii="Times New Roman"/>
        </w:rPr>
      </w:pPr>
      <w:bookmarkStart w:id="93" w:name="_Toc178245078"/>
      <w:bookmarkStart w:id="94" w:name="_Toc178597493"/>
      <w:r>
        <w:rPr>
          <w:rFonts w:ascii="Times New Roman"/>
        </w:rPr>
        <w:t>蚜虫</w:t>
      </w:r>
      <w:bookmarkEnd w:id="93"/>
      <w:bookmarkEnd w:id="94"/>
    </w:p>
    <w:p w14:paraId="0C463247">
      <w:pPr>
        <w:pStyle w:val="56"/>
        <w:ind w:firstLine="420"/>
      </w:pPr>
      <w:r>
        <w:rPr>
          <w:rFonts w:ascii="Times New Roman"/>
        </w:rPr>
        <w:t>若虫高峰期，宜选用1.2%烟碱·苦参碱乳油800倍~1000倍液，或30%噻虫·高氯氟</w:t>
      </w:r>
      <w:r>
        <w:rPr>
          <w:rFonts w:hint="eastAsia" w:ascii="Times New Roman"/>
        </w:rPr>
        <w:t>悬浮剂</w:t>
      </w:r>
      <w:r>
        <w:rPr>
          <w:rFonts w:ascii="Times New Roman"/>
        </w:rPr>
        <w:t>1500倍~3000倍液，或10%氟啶虫酰胺悬浮剂1000倍~1500倍液，进行叶面喷雾，每间隔7 d~10 d喷施一次，连喷1</w:t>
      </w:r>
      <w:r>
        <w:rPr>
          <w:rFonts w:hint="eastAsia" w:ascii="Times New Roman"/>
        </w:rPr>
        <w:t>次</w:t>
      </w:r>
      <w:r>
        <w:rPr>
          <w:rFonts w:ascii="Times New Roman"/>
        </w:rPr>
        <w:t>~2次</w:t>
      </w:r>
      <w:r>
        <w:t>。</w:t>
      </w:r>
    </w:p>
    <w:p w14:paraId="7C037F2B">
      <w:pPr>
        <w:pStyle w:val="65"/>
        <w:spacing w:before="156" w:after="156"/>
        <w:rPr>
          <w:rFonts w:ascii="Times New Roman"/>
        </w:rPr>
      </w:pPr>
      <w:bookmarkStart w:id="95" w:name="_Toc178597494"/>
      <w:bookmarkStart w:id="96" w:name="_Toc178245079"/>
      <w:r>
        <w:rPr>
          <w:rFonts w:ascii="Times New Roman"/>
        </w:rPr>
        <w:t>蓟马</w:t>
      </w:r>
      <w:bookmarkEnd w:id="95"/>
      <w:bookmarkEnd w:id="96"/>
    </w:p>
    <w:p w14:paraId="2D32895C">
      <w:pPr>
        <w:pStyle w:val="56"/>
        <w:ind w:firstLine="420"/>
      </w:pPr>
      <w:r>
        <w:rPr>
          <w:rFonts w:ascii="Times New Roman"/>
        </w:rPr>
        <w:t>若虫高峰期，宜选用60 g/L乙基多杀菌素</w:t>
      </w:r>
      <w:r>
        <w:rPr>
          <w:rFonts w:hint="eastAsia" w:ascii="Times New Roman"/>
        </w:rPr>
        <w:t>悬浮剂</w:t>
      </w:r>
      <w:r>
        <w:rPr>
          <w:rFonts w:ascii="Times New Roman"/>
        </w:rPr>
        <w:t>1500倍~2000倍液，或360 g/L虫螨腈</w:t>
      </w:r>
      <w:r>
        <w:rPr>
          <w:rFonts w:hint="eastAsia" w:ascii="Times New Roman"/>
        </w:rPr>
        <w:t>悬浮剂</w:t>
      </w:r>
      <w:r>
        <w:rPr>
          <w:rFonts w:ascii="Times New Roman"/>
        </w:rPr>
        <w:t>1500倍~3000倍液，或10%溴氰虫酰胺悬浮剂1500倍~2000倍液，或40%氟虫·乙多素水分散性粒剂4000倍液，或70%啶虫脒水分散性粒剂2000倍~4000倍液，进行叶面喷雾，每间隔7 d~10 d喷施一次，连喷1</w:t>
      </w:r>
      <w:r>
        <w:rPr>
          <w:rFonts w:hint="eastAsia" w:ascii="Times New Roman"/>
        </w:rPr>
        <w:t>次</w:t>
      </w:r>
      <w:r>
        <w:rPr>
          <w:rFonts w:ascii="Times New Roman"/>
        </w:rPr>
        <w:t>~2次</w:t>
      </w:r>
      <w:r>
        <w:t>。</w:t>
      </w:r>
    </w:p>
    <w:p w14:paraId="06CC6844">
      <w:pPr>
        <w:pStyle w:val="65"/>
        <w:spacing w:before="156" w:after="156"/>
        <w:rPr>
          <w:rFonts w:ascii="Times New Roman"/>
        </w:rPr>
      </w:pPr>
      <w:bookmarkStart w:id="97" w:name="_Toc178245080"/>
      <w:bookmarkStart w:id="98" w:name="_Toc178597495"/>
      <w:r>
        <w:rPr>
          <w:rFonts w:hint="eastAsia" w:ascii="Times New Roman"/>
        </w:rPr>
        <w:t>介</w:t>
      </w:r>
      <w:r>
        <w:rPr>
          <w:rFonts w:ascii="Times New Roman"/>
        </w:rPr>
        <w:t>壳虫</w:t>
      </w:r>
      <w:bookmarkEnd w:id="97"/>
      <w:bookmarkEnd w:id="98"/>
    </w:p>
    <w:p w14:paraId="6AC8A402">
      <w:pPr>
        <w:pStyle w:val="56"/>
        <w:ind w:firstLine="420"/>
        <w:rPr>
          <w:rFonts w:ascii="Times New Roman"/>
        </w:rPr>
      </w:pPr>
      <w:r>
        <w:rPr>
          <w:rFonts w:ascii="Times New Roman"/>
        </w:rPr>
        <w:t>在若虫高峰期，宜选用350 g/L吡虫啉悬浮剂1000倍~1500倍液，或24%螺虫乙酯悬浮剂3000倍液，或33%螺虫·噻嗪酮悬浮剂3000倍~4500倍液，或20%螺虫·噻虫嗪水分散性粒剂3000倍~3500倍液，进行叶面喷雾，每间隔7 d~15d喷施一次，连喷1</w:t>
      </w:r>
      <w:r>
        <w:rPr>
          <w:rFonts w:hint="eastAsia" w:ascii="Times New Roman"/>
        </w:rPr>
        <w:t>次</w:t>
      </w:r>
      <w:r>
        <w:rPr>
          <w:rFonts w:ascii="Times New Roman"/>
        </w:rPr>
        <w:t>~2次。</w:t>
      </w:r>
    </w:p>
    <w:p w14:paraId="2E48E07B">
      <w:pPr>
        <w:pStyle w:val="104"/>
        <w:spacing w:before="312" w:after="312"/>
        <w:rPr>
          <w:rFonts w:ascii="Times New Roman"/>
        </w:rPr>
      </w:pPr>
      <w:bookmarkStart w:id="99" w:name="_Toc178597496"/>
      <w:r>
        <w:rPr>
          <w:rFonts w:ascii="Times New Roman"/>
        </w:rPr>
        <w:t>病虫害信息记录</w:t>
      </w:r>
      <w:bookmarkEnd w:id="99"/>
    </w:p>
    <w:p w14:paraId="5D4BFDAB">
      <w:pPr>
        <w:pStyle w:val="56"/>
        <w:ind w:firstLine="420"/>
        <w:sectPr>
          <w:pgSz w:w="11906" w:h="16838"/>
          <w:pgMar w:top="1928" w:right="1134" w:bottom="1134" w:left="1134" w:header="1418" w:footer="1134" w:gutter="284"/>
          <w:pgNumType w:start="1"/>
          <w:cols w:space="425" w:num="1"/>
          <w:formProt w:val="0"/>
          <w:docGrid w:type="lines" w:linePitch="312" w:charSpace="0"/>
        </w:sectPr>
      </w:pPr>
      <w:r>
        <w:rPr>
          <w:rFonts w:ascii="Times New Roman"/>
        </w:rPr>
        <w:t>蓝莓病虫害防治中应做好各类信息、资料的收集、记录、整理，建立档案，妥善保存。信息和资料包括主要病虫害种类、发生时间、危害</w:t>
      </w:r>
      <w:r>
        <w:rPr>
          <w:rFonts w:hint="eastAsia" w:ascii="Times New Roman"/>
        </w:rPr>
        <w:t>症状</w:t>
      </w:r>
      <w:r>
        <w:rPr>
          <w:rFonts w:ascii="Times New Roman"/>
        </w:rPr>
        <w:t>、防治时期、防控措施及效果，化学药剂</w:t>
      </w:r>
      <w:r>
        <w:rPr>
          <w:rFonts w:hint="eastAsia" w:ascii="Times New Roman"/>
        </w:rPr>
        <w:t>通用名</w:t>
      </w:r>
      <w:r>
        <w:rPr>
          <w:rFonts w:ascii="Times New Roman"/>
        </w:rPr>
        <w:t>、有效成分、使用方式和浓度、作用机理、</w:t>
      </w:r>
      <w:r>
        <w:rPr>
          <w:rFonts w:hint="eastAsia" w:ascii="Times New Roman"/>
        </w:rPr>
        <w:t>安全</w:t>
      </w:r>
      <w:r>
        <w:rPr>
          <w:rFonts w:ascii="Times New Roman"/>
        </w:rPr>
        <w:t>间隔期等</w:t>
      </w:r>
      <w:r>
        <w:rPr>
          <w:rFonts w:hint="eastAsia" w:ascii="Times New Roman"/>
        </w:rPr>
        <w:t>，</w:t>
      </w:r>
      <w:r>
        <w:rPr>
          <w:rFonts w:hint="eastAsia"/>
        </w:rPr>
        <w:t>记录表参见附录B。</w:t>
      </w:r>
    </w:p>
    <w:bookmarkEnd w:id="24"/>
    <w:p w14:paraId="5D0B4244">
      <w:pPr>
        <w:pStyle w:val="198"/>
        <w:rPr>
          <w:vanish w:val="0"/>
        </w:rPr>
      </w:pPr>
      <w:bookmarkStart w:id="100" w:name="BookMark5"/>
    </w:p>
    <w:p w14:paraId="13FA18ED">
      <w:pPr>
        <w:pStyle w:val="199"/>
        <w:rPr>
          <w:vanish w:val="0"/>
        </w:rPr>
      </w:pPr>
    </w:p>
    <w:p w14:paraId="7C9AF6FD">
      <w:pPr>
        <w:pStyle w:val="76"/>
        <w:spacing w:after="156"/>
      </w:pPr>
      <w:r>
        <w:br w:type="textWrapping"/>
      </w:r>
      <w:bookmarkStart w:id="101" w:name="_Toc178597497"/>
      <w:r>
        <w:rPr>
          <w:rFonts w:hint="eastAsia"/>
        </w:rPr>
        <w:t>（资料性）</w:t>
      </w:r>
      <w:r>
        <w:br w:type="textWrapping"/>
      </w:r>
      <w:r>
        <w:rPr>
          <w:rFonts w:hint="eastAsia"/>
        </w:rPr>
        <w:t>蓝莓主要病虫害为害症状及防治适期</w:t>
      </w:r>
      <w:bookmarkEnd w:id="101"/>
    </w:p>
    <w:p w14:paraId="60023F45">
      <w:pPr>
        <w:pStyle w:val="56"/>
        <w:spacing w:after="156" w:afterLines="50"/>
        <w:ind w:firstLine="420"/>
      </w:pPr>
      <w:r>
        <w:rPr>
          <w:rFonts w:hint="eastAsia"/>
        </w:rPr>
        <w:t>蓝莓主要病虫害为害症状及防治适期见表A.1</w:t>
      </w:r>
    </w:p>
    <w:p w14:paraId="5142218B">
      <w:pPr>
        <w:pStyle w:val="56"/>
        <w:spacing w:after="156" w:afterLines="50"/>
        <w:ind w:firstLine="420"/>
        <w:jc w:val="center"/>
        <w:rPr>
          <w:rFonts w:ascii="黑体" w:eastAsia="黑体"/>
        </w:rPr>
      </w:pPr>
      <w:r>
        <w:rPr>
          <w:rFonts w:hint="eastAsia" w:ascii="黑体" w:eastAsia="黑体"/>
        </w:rPr>
        <w:t>表A.1 蓝莓主要病虫害为害症状及防治适期</w:t>
      </w:r>
    </w:p>
    <w:tbl>
      <w:tblPr>
        <w:tblStyle w:val="26"/>
        <w:tblW w:w="0" w:type="auto"/>
        <w:tblInd w:w="2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446"/>
        <w:gridCol w:w="4678"/>
        <w:gridCol w:w="2970"/>
      </w:tblGrid>
      <w:tr w14:paraId="74A4E4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46" w:type="dxa"/>
            <w:shd w:val="clear" w:color="auto" w:fill="auto"/>
            <w:vAlign w:val="center"/>
          </w:tcPr>
          <w:p w14:paraId="710DA56A">
            <w:pPr>
              <w:pStyle w:val="230"/>
              <w:spacing w:line="300" w:lineRule="exact"/>
              <w:ind w:firstLine="0" w:firstLineChars="0"/>
              <w:jc w:val="center"/>
              <w:rPr>
                <w:rFonts w:ascii="Times New Roman"/>
                <w:sz w:val="18"/>
                <w:szCs w:val="18"/>
              </w:rPr>
            </w:pPr>
            <w:r>
              <w:rPr>
                <w:rFonts w:ascii="Times New Roman"/>
                <w:sz w:val="18"/>
                <w:szCs w:val="18"/>
              </w:rPr>
              <w:t>病虫害名称</w:t>
            </w:r>
          </w:p>
        </w:tc>
        <w:tc>
          <w:tcPr>
            <w:tcW w:w="4678" w:type="dxa"/>
            <w:shd w:val="clear" w:color="auto" w:fill="auto"/>
            <w:vAlign w:val="center"/>
          </w:tcPr>
          <w:p w14:paraId="338FBE22">
            <w:pPr>
              <w:pStyle w:val="230"/>
              <w:spacing w:line="300" w:lineRule="exact"/>
              <w:ind w:firstLine="0" w:firstLineChars="0"/>
              <w:jc w:val="center"/>
              <w:rPr>
                <w:rFonts w:ascii="Times New Roman"/>
                <w:sz w:val="18"/>
                <w:szCs w:val="18"/>
              </w:rPr>
            </w:pPr>
            <w:r>
              <w:rPr>
                <w:rFonts w:hint="eastAsia" w:ascii="Times New Roman"/>
                <w:sz w:val="18"/>
                <w:szCs w:val="18"/>
              </w:rPr>
              <w:t>主要</w:t>
            </w:r>
            <w:r>
              <w:rPr>
                <w:rFonts w:ascii="Times New Roman"/>
                <w:sz w:val="18"/>
                <w:szCs w:val="18"/>
              </w:rPr>
              <w:t>为害</w:t>
            </w:r>
            <w:r>
              <w:rPr>
                <w:rFonts w:hint="eastAsia" w:ascii="Times New Roman"/>
                <w:sz w:val="18"/>
                <w:szCs w:val="18"/>
              </w:rPr>
              <w:t>症状</w:t>
            </w:r>
          </w:p>
        </w:tc>
        <w:tc>
          <w:tcPr>
            <w:tcW w:w="2970" w:type="dxa"/>
            <w:shd w:val="clear" w:color="auto" w:fill="auto"/>
            <w:vAlign w:val="center"/>
          </w:tcPr>
          <w:p w14:paraId="2C7DE41C">
            <w:pPr>
              <w:pStyle w:val="230"/>
              <w:spacing w:line="300" w:lineRule="exact"/>
              <w:ind w:firstLine="0" w:firstLineChars="0"/>
              <w:jc w:val="center"/>
              <w:rPr>
                <w:rFonts w:ascii="Times New Roman"/>
                <w:sz w:val="18"/>
                <w:szCs w:val="18"/>
              </w:rPr>
            </w:pPr>
            <w:r>
              <w:rPr>
                <w:rFonts w:ascii="Times New Roman"/>
                <w:sz w:val="18"/>
                <w:szCs w:val="18"/>
              </w:rPr>
              <w:t>防治适期</w:t>
            </w:r>
          </w:p>
        </w:tc>
      </w:tr>
      <w:tr w14:paraId="55C7F5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46" w:type="dxa"/>
            <w:shd w:val="clear" w:color="auto" w:fill="auto"/>
            <w:vAlign w:val="center"/>
          </w:tcPr>
          <w:p w14:paraId="74D0BDA5">
            <w:pPr>
              <w:pStyle w:val="230"/>
              <w:spacing w:line="300" w:lineRule="exact"/>
              <w:ind w:firstLine="0" w:firstLineChars="0"/>
              <w:jc w:val="center"/>
              <w:rPr>
                <w:rFonts w:ascii="Times New Roman"/>
                <w:sz w:val="18"/>
                <w:szCs w:val="18"/>
              </w:rPr>
            </w:pPr>
            <w:r>
              <w:rPr>
                <w:rFonts w:ascii="Times New Roman"/>
                <w:sz w:val="18"/>
                <w:szCs w:val="18"/>
              </w:rPr>
              <w:t>灰霉病</w:t>
            </w:r>
          </w:p>
        </w:tc>
        <w:tc>
          <w:tcPr>
            <w:tcW w:w="4678" w:type="dxa"/>
            <w:shd w:val="clear" w:color="auto" w:fill="auto"/>
            <w:vAlign w:val="center"/>
          </w:tcPr>
          <w:p w14:paraId="0708664B">
            <w:pPr>
              <w:pStyle w:val="230"/>
              <w:spacing w:line="300" w:lineRule="exact"/>
              <w:ind w:firstLine="0" w:firstLineChars="0"/>
              <w:jc w:val="left"/>
              <w:rPr>
                <w:rFonts w:ascii="Times New Roman"/>
                <w:sz w:val="18"/>
                <w:szCs w:val="18"/>
              </w:rPr>
            </w:pPr>
            <w:r>
              <w:rPr>
                <w:rFonts w:ascii="Times New Roman"/>
                <w:sz w:val="18"/>
                <w:szCs w:val="18"/>
              </w:rPr>
              <w:t>主要</w:t>
            </w:r>
            <w:r>
              <w:rPr>
                <w:rFonts w:hint="eastAsia" w:ascii="Times New Roman"/>
                <w:sz w:val="18"/>
                <w:szCs w:val="18"/>
              </w:rPr>
              <w:t>为害</w:t>
            </w:r>
            <w:r>
              <w:rPr>
                <w:rFonts w:ascii="Times New Roman"/>
                <w:sz w:val="18"/>
                <w:szCs w:val="18"/>
              </w:rPr>
              <w:t>果实、花</w:t>
            </w:r>
            <w:r>
              <w:rPr>
                <w:rFonts w:hint="eastAsia" w:ascii="Times New Roman"/>
                <w:sz w:val="18"/>
                <w:szCs w:val="18"/>
              </w:rPr>
              <w:t>。病菌</w:t>
            </w:r>
            <w:r>
              <w:rPr>
                <w:rFonts w:ascii="Times New Roman"/>
                <w:sz w:val="18"/>
                <w:szCs w:val="18"/>
              </w:rPr>
              <w:t>以菌核在土壤或病组织上越冬。气温在20</w:t>
            </w:r>
            <w:r>
              <w:rPr>
                <w:rFonts w:hint="eastAsia" w:ascii="Times New Roman"/>
                <w:sz w:val="18"/>
                <w:szCs w:val="18"/>
              </w:rPr>
              <w:t>℃</w:t>
            </w:r>
            <w:r>
              <w:rPr>
                <w:rFonts w:ascii="Times New Roman"/>
                <w:sz w:val="18"/>
                <w:szCs w:val="18"/>
              </w:rPr>
              <w:t>~30</w:t>
            </w:r>
            <w:r>
              <w:rPr>
                <w:rFonts w:hint="eastAsia" w:ascii="Times New Roman"/>
                <w:sz w:val="18"/>
                <w:szCs w:val="18"/>
              </w:rPr>
              <w:t>℃</w:t>
            </w:r>
            <w:r>
              <w:rPr>
                <w:rFonts w:ascii="Times New Roman"/>
                <w:sz w:val="18"/>
                <w:szCs w:val="18"/>
              </w:rPr>
              <w:t>，湿度在90%以上为病害高发期。同时连续阴雨天气，有利于</w:t>
            </w:r>
            <w:r>
              <w:rPr>
                <w:rFonts w:hint="eastAsia" w:ascii="Times New Roman"/>
                <w:sz w:val="18"/>
                <w:szCs w:val="18"/>
              </w:rPr>
              <w:t>灰霉病</w:t>
            </w:r>
            <w:r>
              <w:rPr>
                <w:rFonts w:ascii="Times New Roman"/>
                <w:sz w:val="18"/>
                <w:szCs w:val="18"/>
              </w:rPr>
              <w:t>的发生及蔓延。</w:t>
            </w:r>
          </w:p>
        </w:tc>
        <w:tc>
          <w:tcPr>
            <w:tcW w:w="2970" w:type="dxa"/>
            <w:shd w:val="clear" w:color="auto" w:fill="auto"/>
            <w:vAlign w:val="center"/>
          </w:tcPr>
          <w:p w14:paraId="68490EC1">
            <w:pPr>
              <w:pStyle w:val="230"/>
              <w:spacing w:line="300" w:lineRule="exact"/>
              <w:ind w:firstLine="0" w:firstLineChars="0"/>
              <w:jc w:val="left"/>
              <w:rPr>
                <w:rFonts w:ascii="Times New Roman"/>
                <w:sz w:val="18"/>
                <w:szCs w:val="18"/>
              </w:rPr>
            </w:pPr>
            <w:r>
              <w:rPr>
                <w:rFonts w:hint="eastAsia" w:ascii="Times New Roman"/>
                <w:sz w:val="18"/>
                <w:szCs w:val="18"/>
              </w:rPr>
              <w:t>4月~5月，开花期喷施保护性药剂；绿果期喷施2次~3次铲除性药剂，9月~10月剪除病果枝。</w:t>
            </w:r>
          </w:p>
        </w:tc>
      </w:tr>
      <w:tr w14:paraId="243F4F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46" w:type="dxa"/>
            <w:shd w:val="clear" w:color="auto" w:fill="auto"/>
            <w:vAlign w:val="center"/>
          </w:tcPr>
          <w:p w14:paraId="7316A5BA">
            <w:pPr>
              <w:pStyle w:val="230"/>
              <w:spacing w:line="300" w:lineRule="exact"/>
              <w:ind w:firstLine="0" w:firstLineChars="0"/>
              <w:jc w:val="center"/>
              <w:rPr>
                <w:rFonts w:ascii="Times New Roman"/>
                <w:sz w:val="18"/>
                <w:szCs w:val="18"/>
              </w:rPr>
            </w:pPr>
            <w:r>
              <w:rPr>
                <w:rFonts w:hint="eastAsia" w:ascii="Times New Roman"/>
                <w:sz w:val="18"/>
                <w:szCs w:val="18"/>
              </w:rPr>
              <w:t>枝枯病</w:t>
            </w:r>
          </w:p>
        </w:tc>
        <w:tc>
          <w:tcPr>
            <w:tcW w:w="4678" w:type="dxa"/>
            <w:shd w:val="clear" w:color="auto" w:fill="auto"/>
            <w:vAlign w:val="center"/>
          </w:tcPr>
          <w:p w14:paraId="46E0C89B">
            <w:pPr>
              <w:pStyle w:val="230"/>
              <w:spacing w:line="300" w:lineRule="exact"/>
              <w:ind w:firstLine="0" w:firstLineChars="0"/>
              <w:jc w:val="left"/>
              <w:rPr>
                <w:rFonts w:ascii="Times New Roman"/>
                <w:sz w:val="18"/>
                <w:szCs w:val="18"/>
              </w:rPr>
            </w:pPr>
            <w:r>
              <w:rPr>
                <w:rFonts w:hint="eastAsia" w:ascii="Times New Roman"/>
                <w:sz w:val="18"/>
                <w:szCs w:val="18"/>
              </w:rPr>
              <w:t>主要为害植株茎干、叶、果实。病菌以分生孢子器在病株上越冬。4月~7月期间危害严重。</w:t>
            </w:r>
          </w:p>
        </w:tc>
        <w:tc>
          <w:tcPr>
            <w:tcW w:w="2970" w:type="dxa"/>
            <w:shd w:val="clear" w:color="auto" w:fill="auto"/>
            <w:vAlign w:val="center"/>
          </w:tcPr>
          <w:p w14:paraId="387CBBD9">
            <w:pPr>
              <w:pStyle w:val="230"/>
              <w:spacing w:line="300" w:lineRule="exact"/>
              <w:ind w:firstLine="0" w:firstLineChars="0"/>
              <w:jc w:val="left"/>
              <w:rPr>
                <w:rFonts w:ascii="Times New Roman"/>
                <w:sz w:val="18"/>
                <w:szCs w:val="18"/>
              </w:rPr>
            </w:pPr>
            <w:r>
              <w:rPr>
                <w:rFonts w:hint="eastAsia" w:ascii="Times New Roman"/>
                <w:sz w:val="18"/>
                <w:szCs w:val="18"/>
              </w:rPr>
              <w:t>4月~5月，开花期喷施保护性药剂；绿果期喷施2次~3次铲除性药剂，9月~10月剪除病害果枝。</w:t>
            </w:r>
          </w:p>
        </w:tc>
      </w:tr>
      <w:tr w14:paraId="293D00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46" w:type="dxa"/>
            <w:shd w:val="clear" w:color="auto" w:fill="auto"/>
            <w:vAlign w:val="center"/>
          </w:tcPr>
          <w:p w14:paraId="2BECAD26">
            <w:pPr>
              <w:pStyle w:val="230"/>
              <w:spacing w:line="300" w:lineRule="exact"/>
              <w:ind w:firstLine="0" w:firstLineChars="0"/>
              <w:jc w:val="center"/>
              <w:rPr>
                <w:rFonts w:ascii="Times New Roman"/>
                <w:sz w:val="18"/>
                <w:szCs w:val="18"/>
              </w:rPr>
            </w:pPr>
            <w:r>
              <w:rPr>
                <w:rFonts w:hint="eastAsia" w:ascii="Times New Roman"/>
                <w:sz w:val="18"/>
                <w:szCs w:val="18"/>
              </w:rPr>
              <w:t>叶斑病</w:t>
            </w:r>
          </w:p>
        </w:tc>
        <w:tc>
          <w:tcPr>
            <w:tcW w:w="4678" w:type="dxa"/>
            <w:shd w:val="clear" w:color="auto" w:fill="auto"/>
            <w:vAlign w:val="center"/>
          </w:tcPr>
          <w:p w14:paraId="31BB5788">
            <w:pPr>
              <w:pStyle w:val="230"/>
              <w:spacing w:line="300" w:lineRule="exact"/>
              <w:ind w:firstLine="0" w:firstLineChars="0"/>
              <w:jc w:val="left"/>
              <w:rPr>
                <w:rFonts w:ascii="Times New Roman"/>
                <w:sz w:val="18"/>
                <w:szCs w:val="18"/>
              </w:rPr>
            </w:pPr>
            <w:r>
              <w:rPr>
                <w:rFonts w:hint="eastAsia" w:ascii="Times New Roman"/>
                <w:sz w:val="18"/>
                <w:szCs w:val="18"/>
              </w:rPr>
              <w:t>主要为害植株叶片。在春季和秋季危害严重。</w:t>
            </w:r>
          </w:p>
        </w:tc>
        <w:tc>
          <w:tcPr>
            <w:tcW w:w="2970" w:type="dxa"/>
            <w:shd w:val="clear" w:color="auto" w:fill="auto"/>
            <w:vAlign w:val="center"/>
          </w:tcPr>
          <w:p w14:paraId="7B19D63E">
            <w:pPr>
              <w:pStyle w:val="230"/>
              <w:spacing w:line="300" w:lineRule="exact"/>
              <w:ind w:firstLine="0" w:firstLineChars="0"/>
              <w:jc w:val="left"/>
              <w:rPr>
                <w:rFonts w:ascii="Times New Roman"/>
                <w:sz w:val="18"/>
                <w:szCs w:val="18"/>
              </w:rPr>
            </w:pPr>
            <w:r>
              <w:rPr>
                <w:rFonts w:hint="eastAsia" w:ascii="Times New Roman"/>
                <w:sz w:val="18"/>
                <w:szCs w:val="18"/>
              </w:rPr>
              <w:t>3月~5月，9月~10月，喷施药剂防治。</w:t>
            </w:r>
          </w:p>
        </w:tc>
      </w:tr>
      <w:tr w14:paraId="720831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46" w:type="dxa"/>
            <w:shd w:val="clear" w:color="auto" w:fill="auto"/>
            <w:vAlign w:val="center"/>
          </w:tcPr>
          <w:p w14:paraId="244B477E">
            <w:pPr>
              <w:pStyle w:val="230"/>
              <w:spacing w:line="300" w:lineRule="exact"/>
              <w:ind w:firstLine="0" w:firstLineChars="0"/>
              <w:jc w:val="center"/>
              <w:rPr>
                <w:rFonts w:ascii="Times New Roman"/>
                <w:sz w:val="18"/>
                <w:szCs w:val="18"/>
              </w:rPr>
            </w:pPr>
            <w:r>
              <w:rPr>
                <w:rFonts w:hint="eastAsia" w:ascii="Times New Roman"/>
                <w:sz w:val="18"/>
                <w:szCs w:val="18"/>
              </w:rPr>
              <w:t>根腐病</w:t>
            </w:r>
          </w:p>
        </w:tc>
        <w:tc>
          <w:tcPr>
            <w:tcW w:w="4678" w:type="dxa"/>
            <w:shd w:val="clear" w:color="auto" w:fill="auto"/>
            <w:vAlign w:val="center"/>
          </w:tcPr>
          <w:p w14:paraId="77026292">
            <w:pPr>
              <w:pStyle w:val="230"/>
              <w:spacing w:line="300" w:lineRule="exact"/>
              <w:ind w:firstLine="0" w:firstLineChars="0"/>
              <w:jc w:val="left"/>
              <w:rPr>
                <w:rFonts w:ascii="Times New Roman"/>
                <w:sz w:val="18"/>
                <w:szCs w:val="18"/>
              </w:rPr>
            </w:pPr>
            <w:r>
              <w:rPr>
                <w:rFonts w:hint="eastAsia" w:ascii="Times New Roman"/>
                <w:sz w:val="18"/>
                <w:szCs w:val="18"/>
              </w:rPr>
              <w:t>主要为害植株根部，尤其以幼苗为重。病原菌通常以分生孢子或菌丝体的形式在植物体上或土壤里面越冬。夏季，高温雨后危害严重。</w:t>
            </w:r>
          </w:p>
        </w:tc>
        <w:tc>
          <w:tcPr>
            <w:tcW w:w="2970" w:type="dxa"/>
            <w:shd w:val="clear" w:color="auto" w:fill="auto"/>
            <w:vAlign w:val="center"/>
          </w:tcPr>
          <w:p w14:paraId="318C64EA">
            <w:pPr>
              <w:pStyle w:val="230"/>
              <w:spacing w:line="300" w:lineRule="exact"/>
              <w:ind w:firstLine="0" w:firstLineChars="0"/>
              <w:jc w:val="left"/>
              <w:rPr>
                <w:rFonts w:ascii="Times New Roman"/>
                <w:sz w:val="18"/>
                <w:szCs w:val="18"/>
              </w:rPr>
            </w:pPr>
            <w:r>
              <w:rPr>
                <w:rFonts w:hint="eastAsia" w:ascii="Times New Roman"/>
                <w:sz w:val="18"/>
                <w:szCs w:val="18"/>
              </w:rPr>
              <w:t>幼苗移栽后及时灌根处理。4月开花期灌根。</w:t>
            </w:r>
          </w:p>
        </w:tc>
      </w:tr>
      <w:tr w14:paraId="28A68A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46" w:type="dxa"/>
            <w:shd w:val="clear" w:color="auto" w:fill="auto"/>
            <w:vAlign w:val="center"/>
          </w:tcPr>
          <w:p w14:paraId="3F6BB302">
            <w:pPr>
              <w:pStyle w:val="230"/>
              <w:spacing w:line="300" w:lineRule="exact"/>
              <w:ind w:firstLine="0" w:firstLineChars="0"/>
              <w:jc w:val="center"/>
              <w:rPr>
                <w:rFonts w:ascii="Times New Roman"/>
                <w:sz w:val="18"/>
                <w:szCs w:val="18"/>
              </w:rPr>
            </w:pPr>
            <w:r>
              <w:rPr>
                <w:rFonts w:hint="eastAsia" w:ascii="Times New Roman"/>
                <w:sz w:val="18"/>
                <w:szCs w:val="18"/>
              </w:rPr>
              <w:t>白粉病和锈病</w:t>
            </w:r>
          </w:p>
        </w:tc>
        <w:tc>
          <w:tcPr>
            <w:tcW w:w="4678" w:type="dxa"/>
            <w:shd w:val="clear" w:color="auto" w:fill="auto"/>
            <w:vAlign w:val="center"/>
          </w:tcPr>
          <w:p w14:paraId="21BF2148">
            <w:pPr>
              <w:pStyle w:val="230"/>
              <w:spacing w:line="300" w:lineRule="exact"/>
              <w:ind w:firstLine="0" w:firstLineChars="0"/>
              <w:jc w:val="left"/>
              <w:rPr>
                <w:rFonts w:ascii="Times New Roman"/>
                <w:sz w:val="18"/>
                <w:szCs w:val="18"/>
              </w:rPr>
            </w:pPr>
            <w:r>
              <w:rPr>
                <w:rFonts w:hint="eastAsia" w:ascii="Times New Roman"/>
                <w:sz w:val="18"/>
                <w:szCs w:val="18"/>
              </w:rPr>
              <w:t>主要为害植株叶片。叶片正面可见白色粉状物覆盖，叶背有水滞状不规则病斑，危害位置相对应。病原以闭囊壳随病残体越冬。5</w:t>
            </w:r>
            <w:r>
              <w:rPr>
                <w:rFonts w:ascii="Times New Roman"/>
                <w:sz w:val="18"/>
                <w:szCs w:val="18"/>
              </w:rPr>
              <w:t>月到10</w:t>
            </w:r>
            <w:r>
              <w:rPr>
                <w:rFonts w:hint="eastAsia" w:ascii="Times New Roman"/>
                <w:sz w:val="18"/>
                <w:szCs w:val="18"/>
              </w:rPr>
              <w:t>月间都有发生，雨季</w:t>
            </w:r>
            <w:r>
              <w:rPr>
                <w:rFonts w:ascii="Times New Roman"/>
                <w:sz w:val="18"/>
                <w:szCs w:val="18"/>
              </w:rPr>
              <w:t>6</w:t>
            </w:r>
            <w:r>
              <w:rPr>
                <w:rFonts w:hint="eastAsia" w:ascii="Times New Roman"/>
                <w:sz w:val="18"/>
                <w:szCs w:val="18"/>
              </w:rPr>
              <w:t>月~</w:t>
            </w:r>
            <w:r>
              <w:rPr>
                <w:rFonts w:ascii="Times New Roman"/>
                <w:sz w:val="18"/>
                <w:szCs w:val="18"/>
              </w:rPr>
              <w:t>8</w:t>
            </w:r>
            <w:r>
              <w:rPr>
                <w:rFonts w:hint="eastAsia" w:ascii="Times New Roman"/>
                <w:sz w:val="18"/>
                <w:szCs w:val="18"/>
              </w:rPr>
              <w:t>月会稍轻一些。</w:t>
            </w:r>
          </w:p>
        </w:tc>
        <w:tc>
          <w:tcPr>
            <w:tcW w:w="2970" w:type="dxa"/>
            <w:shd w:val="clear" w:color="auto" w:fill="auto"/>
            <w:vAlign w:val="center"/>
          </w:tcPr>
          <w:p w14:paraId="3C6C7A8F">
            <w:pPr>
              <w:pStyle w:val="230"/>
              <w:spacing w:line="300" w:lineRule="exact"/>
              <w:ind w:firstLine="0" w:firstLineChars="0"/>
              <w:jc w:val="left"/>
              <w:rPr>
                <w:rFonts w:ascii="Times New Roman"/>
                <w:sz w:val="18"/>
                <w:szCs w:val="18"/>
              </w:rPr>
            </w:pPr>
            <w:r>
              <w:rPr>
                <w:rFonts w:hint="eastAsia" w:ascii="Times New Roman"/>
                <w:sz w:val="18"/>
                <w:szCs w:val="18"/>
              </w:rPr>
              <w:t>5月~6月，9月~10月，喷施药剂防治。</w:t>
            </w:r>
          </w:p>
        </w:tc>
      </w:tr>
      <w:tr w14:paraId="2B8E32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46" w:type="dxa"/>
            <w:shd w:val="clear" w:color="auto" w:fill="auto"/>
            <w:vAlign w:val="center"/>
          </w:tcPr>
          <w:p w14:paraId="1822062E">
            <w:pPr>
              <w:pStyle w:val="230"/>
              <w:spacing w:line="300" w:lineRule="exact"/>
              <w:ind w:firstLine="0" w:firstLineChars="0"/>
              <w:jc w:val="center"/>
              <w:rPr>
                <w:rFonts w:ascii="Times New Roman"/>
                <w:sz w:val="18"/>
                <w:szCs w:val="18"/>
              </w:rPr>
            </w:pPr>
            <w:r>
              <w:rPr>
                <w:rFonts w:hint="eastAsia" w:ascii="Times New Roman"/>
                <w:sz w:val="18"/>
                <w:szCs w:val="18"/>
              </w:rPr>
              <w:t>食叶性刺蛾</w:t>
            </w:r>
          </w:p>
        </w:tc>
        <w:tc>
          <w:tcPr>
            <w:tcW w:w="4678" w:type="dxa"/>
            <w:shd w:val="clear" w:color="auto" w:fill="auto"/>
            <w:vAlign w:val="center"/>
          </w:tcPr>
          <w:p w14:paraId="6C53E08F">
            <w:pPr>
              <w:pStyle w:val="230"/>
              <w:spacing w:line="300" w:lineRule="exact"/>
              <w:ind w:firstLine="0" w:firstLineChars="0"/>
              <w:jc w:val="left"/>
              <w:rPr>
                <w:rFonts w:ascii="Times New Roman"/>
                <w:sz w:val="18"/>
                <w:szCs w:val="18"/>
              </w:rPr>
            </w:pPr>
            <w:r>
              <w:rPr>
                <w:rFonts w:hint="eastAsia" w:ascii="Times New Roman"/>
                <w:sz w:val="18"/>
                <w:szCs w:val="18"/>
              </w:rPr>
              <w:t>主要为害幼嫩叶片及嫩梢。一年发生1代~3代，以老熟幼虫结茧越冬。6月~8月份幼虫危害严重。</w:t>
            </w:r>
          </w:p>
        </w:tc>
        <w:tc>
          <w:tcPr>
            <w:tcW w:w="2970" w:type="dxa"/>
            <w:shd w:val="clear" w:color="auto" w:fill="auto"/>
            <w:vAlign w:val="center"/>
          </w:tcPr>
          <w:p w14:paraId="68DAC396">
            <w:pPr>
              <w:pStyle w:val="230"/>
              <w:spacing w:line="300" w:lineRule="exact"/>
              <w:ind w:firstLine="0" w:firstLineChars="0"/>
              <w:jc w:val="left"/>
              <w:rPr>
                <w:rFonts w:ascii="Times New Roman"/>
                <w:sz w:val="18"/>
                <w:szCs w:val="18"/>
              </w:rPr>
            </w:pPr>
            <w:r>
              <w:rPr>
                <w:rFonts w:hint="eastAsia" w:ascii="Times New Roman"/>
                <w:sz w:val="18"/>
                <w:szCs w:val="18"/>
              </w:rPr>
              <w:t>幼虫3龄前是药剂防治的关键期。</w:t>
            </w:r>
          </w:p>
        </w:tc>
      </w:tr>
      <w:tr w14:paraId="51C248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46" w:type="dxa"/>
            <w:shd w:val="clear" w:color="auto" w:fill="auto"/>
            <w:vAlign w:val="center"/>
          </w:tcPr>
          <w:p w14:paraId="0929A1A8">
            <w:pPr>
              <w:pStyle w:val="230"/>
              <w:spacing w:line="300" w:lineRule="exact"/>
              <w:ind w:firstLine="0" w:firstLineChars="0"/>
              <w:jc w:val="center"/>
              <w:rPr>
                <w:rFonts w:ascii="Times New Roman"/>
                <w:sz w:val="18"/>
                <w:szCs w:val="18"/>
              </w:rPr>
            </w:pPr>
            <w:r>
              <w:rPr>
                <w:rFonts w:hint="eastAsia" w:ascii="Times New Roman"/>
                <w:sz w:val="18"/>
                <w:szCs w:val="18"/>
              </w:rPr>
              <w:t>夜蛾科害虫</w:t>
            </w:r>
          </w:p>
        </w:tc>
        <w:tc>
          <w:tcPr>
            <w:tcW w:w="4678" w:type="dxa"/>
            <w:shd w:val="clear" w:color="auto" w:fill="auto"/>
            <w:vAlign w:val="center"/>
          </w:tcPr>
          <w:p w14:paraId="1D2B618E">
            <w:pPr>
              <w:pStyle w:val="230"/>
              <w:spacing w:line="300" w:lineRule="exact"/>
              <w:ind w:firstLine="0" w:firstLineChars="0"/>
              <w:jc w:val="left"/>
              <w:rPr>
                <w:rFonts w:ascii="Times New Roman"/>
                <w:sz w:val="18"/>
                <w:szCs w:val="18"/>
              </w:rPr>
            </w:pPr>
            <w:r>
              <w:rPr>
                <w:rFonts w:hint="eastAsia" w:ascii="Times New Roman"/>
                <w:sz w:val="18"/>
                <w:szCs w:val="18"/>
              </w:rPr>
              <w:t>主要为害植株新芽、嫩叶。一年发生3代~4代，以幼龄幼虫结茧在土中越冬。5月~8月份幼虫危害严重。</w:t>
            </w:r>
          </w:p>
        </w:tc>
        <w:tc>
          <w:tcPr>
            <w:tcW w:w="2970" w:type="dxa"/>
            <w:shd w:val="clear" w:color="auto" w:fill="auto"/>
            <w:vAlign w:val="center"/>
          </w:tcPr>
          <w:p w14:paraId="244A4EEB">
            <w:pPr>
              <w:pStyle w:val="230"/>
              <w:spacing w:line="300" w:lineRule="exact"/>
              <w:ind w:firstLine="0" w:firstLineChars="0"/>
              <w:jc w:val="left"/>
              <w:rPr>
                <w:rFonts w:ascii="Times New Roman"/>
                <w:sz w:val="18"/>
                <w:szCs w:val="18"/>
              </w:rPr>
            </w:pPr>
            <w:r>
              <w:rPr>
                <w:rFonts w:hint="eastAsia" w:ascii="Times New Roman"/>
                <w:sz w:val="18"/>
                <w:szCs w:val="18"/>
              </w:rPr>
              <w:t>越冬代幼虫出蛰盛期是药剂防治的关键期。</w:t>
            </w:r>
          </w:p>
        </w:tc>
      </w:tr>
      <w:tr w14:paraId="63F352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46" w:type="dxa"/>
            <w:shd w:val="clear" w:color="auto" w:fill="auto"/>
            <w:vAlign w:val="center"/>
          </w:tcPr>
          <w:p w14:paraId="25528A17">
            <w:pPr>
              <w:pStyle w:val="230"/>
              <w:spacing w:line="300" w:lineRule="exact"/>
              <w:ind w:firstLine="0" w:firstLineChars="0"/>
              <w:jc w:val="center"/>
              <w:rPr>
                <w:rFonts w:ascii="Times New Roman"/>
                <w:sz w:val="18"/>
                <w:szCs w:val="18"/>
              </w:rPr>
            </w:pPr>
            <w:r>
              <w:rPr>
                <w:rFonts w:hint="eastAsia" w:ascii="Times New Roman"/>
                <w:sz w:val="18"/>
                <w:szCs w:val="18"/>
              </w:rPr>
              <w:t>蛴螬</w:t>
            </w:r>
          </w:p>
        </w:tc>
        <w:tc>
          <w:tcPr>
            <w:tcW w:w="4678" w:type="dxa"/>
            <w:shd w:val="clear" w:color="auto" w:fill="auto"/>
            <w:vAlign w:val="center"/>
          </w:tcPr>
          <w:p w14:paraId="6A8861C1">
            <w:pPr>
              <w:pStyle w:val="230"/>
              <w:spacing w:line="300" w:lineRule="exact"/>
              <w:ind w:firstLine="0" w:firstLineChars="0"/>
              <w:jc w:val="left"/>
              <w:rPr>
                <w:rFonts w:ascii="Times New Roman"/>
                <w:sz w:val="18"/>
                <w:szCs w:val="18"/>
              </w:rPr>
            </w:pPr>
            <w:r>
              <w:rPr>
                <w:rFonts w:hint="eastAsia" w:ascii="Times New Roman"/>
                <w:sz w:val="18"/>
                <w:szCs w:val="18"/>
              </w:rPr>
              <w:t>主要为害植株根部（幼虫）和叶片（成虫）。一年1代，以幼虫在土中越冬。4月~5月幼虫为害严重。</w:t>
            </w:r>
          </w:p>
        </w:tc>
        <w:tc>
          <w:tcPr>
            <w:tcW w:w="2970" w:type="dxa"/>
            <w:shd w:val="clear" w:color="auto" w:fill="auto"/>
            <w:vAlign w:val="center"/>
          </w:tcPr>
          <w:p w14:paraId="0D1B1B4F">
            <w:pPr>
              <w:pStyle w:val="230"/>
              <w:spacing w:line="300" w:lineRule="exact"/>
              <w:ind w:firstLine="0" w:firstLineChars="0"/>
              <w:jc w:val="left"/>
              <w:rPr>
                <w:rFonts w:ascii="Times New Roman"/>
                <w:sz w:val="18"/>
                <w:szCs w:val="18"/>
              </w:rPr>
            </w:pPr>
            <w:r>
              <w:rPr>
                <w:rFonts w:hint="eastAsia" w:ascii="Times New Roman"/>
                <w:sz w:val="18"/>
                <w:szCs w:val="18"/>
              </w:rPr>
              <w:t>3月~5月开花期是药剂防治关键期，可在9月灌根预防蛴螬。</w:t>
            </w:r>
          </w:p>
        </w:tc>
      </w:tr>
      <w:tr w14:paraId="3533D1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46" w:type="dxa"/>
            <w:shd w:val="clear" w:color="auto" w:fill="auto"/>
            <w:vAlign w:val="center"/>
          </w:tcPr>
          <w:p w14:paraId="08A870EC">
            <w:pPr>
              <w:pStyle w:val="230"/>
              <w:spacing w:line="300" w:lineRule="exact"/>
              <w:ind w:firstLine="0" w:firstLineChars="0"/>
              <w:jc w:val="center"/>
              <w:rPr>
                <w:rFonts w:ascii="Times New Roman"/>
                <w:sz w:val="18"/>
                <w:szCs w:val="18"/>
              </w:rPr>
            </w:pPr>
            <w:r>
              <w:rPr>
                <w:rFonts w:hint="eastAsia" w:ascii="Times New Roman"/>
                <w:sz w:val="18"/>
                <w:szCs w:val="18"/>
              </w:rPr>
              <w:t>蚜虫</w:t>
            </w:r>
          </w:p>
        </w:tc>
        <w:tc>
          <w:tcPr>
            <w:tcW w:w="4678" w:type="dxa"/>
            <w:shd w:val="clear" w:color="auto" w:fill="auto"/>
            <w:vAlign w:val="center"/>
          </w:tcPr>
          <w:p w14:paraId="4100BC44">
            <w:pPr>
              <w:pStyle w:val="230"/>
              <w:spacing w:line="300" w:lineRule="exact"/>
              <w:ind w:firstLine="0" w:firstLineChars="0"/>
              <w:jc w:val="left"/>
              <w:rPr>
                <w:rFonts w:ascii="Times New Roman"/>
                <w:sz w:val="18"/>
                <w:szCs w:val="18"/>
              </w:rPr>
            </w:pPr>
            <w:r>
              <w:rPr>
                <w:rFonts w:hint="eastAsia" w:ascii="Times New Roman"/>
                <w:sz w:val="18"/>
                <w:szCs w:val="18"/>
              </w:rPr>
              <w:t>主要为害植株叶片、嫩梢。一年发生10代~30代，以卵在枝条缝隙越冬，4月~5月大量繁殖，危害严重。</w:t>
            </w:r>
          </w:p>
        </w:tc>
        <w:tc>
          <w:tcPr>
            <w:tcW w:w="2970" w:type="dxa"/>
            <w:shd w:val="clear" w:color="auto" w:fill="auto"/>
            <w:vAlign w:val="center"/>
          </w:tcPr>
          <w:p w14:paraId="54434ED3">
            <w:pPr>
              <w:pStyle w:val="230"/>
              <w:spacing w:line="300" w:lineRule="exact"/>
              <w:ind w:firstLine="0" w:firstLineChars="0"/>
              <w:jc w:val="left"/>
              <w:rPr>
                <w:rFonts w:ascii="Times New Roman"/>
                <w:sz w:val="18"/>
                <w:szCs w:val="18"/>
              </w:rPr>
            </w:pPr>
            <w:r>
              <w:rPr>
                <w:rFonts w:hint="eastAsia" w:ascii="Times New Roman"/>
                <w:sz w:val="18"/>
                <w:szCs w:val="18"/>
              </w:rPr>
              <w:t>休眠期做好清园。5月进行药剂防治。</w:t>
            </w:r>
          </w:p>
        </w:tc>
      </w:tr>
      <w:tr w14:paraId="4F963C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9" w:hRule="atLeast"/>
        </w:trPr>
        <w:tc>
          <w:tcPr>
            <w:tcW w:w="1446" w:type="dxa"/>
            <w:shd w:val="clear" w:color="auto" w:fill="auto"/>
            <w:vAlign w:val="center"/>
          </w:tcPr>
          <w:p w14:paraId="1FF88446">
            <w:pPr>
              <w:pStyle w:val="230"/>
              <w:spacing w:line="300" w:lineRule="exact"/>
              <w:ind w:firstLine="0" w:firstLineChars="0"/>
              <w:jc w:val="center"/>
              <w:rPr>
                <w:rFonts w:ascii="Times New Roman"/>
                <w:sz w:val="18"/>
                <w:szCs w:val="18"/>
              </w:rPr>
            </w:pPr>
            <w:r>
              <w:rPr>
                <w:rFonts w:hint="eastAsia" w:ascii="Times New Roman"/>
                <w:sz w:val="18"/>
                <w:szCs w:val="18"/>
              </w:rPr>
              <w:t>蓟马</w:t>
            </w:r>
          </w:p>
        </w:tc>
        <w:tc>
          <w:tcPr>
            <w:tcW w:w="4678" w:type="dxa"/>
            <w:shd w:val="clear" w:color="auto" w:fill="auto"/>
            <w:vAlign w:val="center"/>
          </w:tcPr>
          <w:p w14:paraId="1BF73F6F">
            <w:pPr>
              <w:pStyle w:val="230"/>
              <w:spacing w:line="300" w:lineRule="exact"/>
              <w:ind w:firstLine="0" w:firstLineChars="0"/>
              <w:jc w:val="left"/>
              <w:rPr>
                <w:rFonts w:ascii="Times New Roman"/>
                <w:sz w:val="18"/>
                <w:szCs w:val="18"/>
              </w:rPr>
            </w:pPr>
            <w:r>
              <w:rPr>
                <w:rFonts w:hint="eastAsia" w:ascii="Times New Roman"/>
                <w:sz w:val="18"/>
                <w:szCs w:val="18"/>
              </w:rPr>
              <w:t>主要为害植株嫩叶、嫩梢、花。一年发生10余代，以蛹在土中越冬。3月~10月份大量繁殖，危害严重。</w:t>
            </w:r>
          </w:p>
        </w:tc>
        <w:tc>
          <w:tcPr>
            <w:tcW w:w="2970" w:type="dxa"/>
            <w:shd w:val="clear" w:color="auto" w:fill="auto"/>
            <w:vAlign w:val="center"/>
          </w:tcPr>
          <w:p w14:paraId="77493C2B">
            <w:pPr>
              <w:pStyle w:val="230"/>
              <w:spacing w:line="300" w:lineRule="exact"/>
              <w:ind w:firstLine="0" w:firstLineChars="0"/>
              <w:jc w:val="left"/>
              <w:rPr>
                <w:rFonts w:ascii="Times New Roman"/>
                <w:sz w:val="18"/>
                <w:szCs w:val="18"/>
              </w:rPr>
            </w:pPr>
            <w:r>
              <w:rPr>
                <w:rFonts w:hint="eastAsia" w:ascii="Times New Roman"/>
                <w:sz w:val="18"/>
                <w:szCs w:val="18"/>
              </w:rPr>
              <w:t>休眠期做好清园。3月开始进行药剂防治。</w:t>
            </w:r>
          </w:p>
        </w:tc>
      </w:tr>
      <w:tr w14:paraId="0F03C8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46" w:type="dxa"/>
            <w:shd w:val="clear" w:color="auto" w:fill="auto"/>
            <w:vAlign w:val="center"/>
          </w:tcPr>
          <w:p w14:paraId="7120C1BE">
            <w:pPr>
              <w:pStyle w:val="230"/>
              <w:ind w:firstLine="0" w:firstLineChars="0"/>
              <w:jc w:val="center"/>
              <w:rPr>
                <w:rFonts w:ascii="Times New Roman"/>
                <w:sz w:val="18"/>
                <w:szCs w:val="18"/>
              </w:rPr>
            </w:pPr>
            <w:r>
              <w:rPr>
                <w:rFonts w:hint="eastAsia" w:ascii="Times New Roman"/>
                <w:sz w:val="18"/>
                <w:szCs w:val="18"/>
              </w:rPr>
              <w:t>斑翅果蝇</w:t>
            </w:r>
          </w:p>
        </w:tc>
        <w:tc>
          <w:tcPr>
            <w:tcW w:w="4678" w:type="dxa"/>
            <w:shd w:val="clear" w:color="auto" w:fill="auto"/>
            <w:vAlign w:val="center"/>
          </w:tcPr>
          <w:p w14:paraId="10B57A48">
            <w:pPr>
              <w:pStyle w:val="230"/>
              <w:ind w:firstLine="0" w:firstLineChars="0"/>
              <w:jc w:val="left"/>
              <w:rPr>
                <w:rFonts w:ascii="Times New Roman"/>
                <w:sz w:val="18"/>
                <w:szCs w:val="18"/>
              </w:rPr>
            </w:pPr>
            <w:r>
              <w:rPr>
                <w:rFonts w:hint="eastAsia" w:ascii="Times New Roman"/>
                <w:sz w:val="18"/>
                <w:szCs w:val="18"/>
              </w:rPr>
              <w:t>主要为害成熟果实，斑翅果蝇雌虫可将卵直接产于成熟或即将成熟的果皮较软的果实内， 幼虫在果实内取食。</w:t>
            </w:r>
            <w:r>
              <w:rPr>
                <w:rFonts w:ascii="Times New Roman"/>
                <w:sz w:val="18"/>
                <w:szCs w:val="18"/>
              </w:rPr>
              <w:t>一年可发生3</w:t>
            </w:r>
            <w:r>
              <w:rPr>
                <w:rFonts w:hint="eastAsia" w:ascii="Times New Roman"/>
                <w:sz w:val="18"/>
                <w:szCs w:val="18"/>
              </w:rPr>
              <w:t>代~</w:t>
            </w:r>
            <w:r>
              <w:rPr>
                <w:rFonts w:ascii="Times New Roman"/>
                <w:sz w:val="18"/>
                <w:szCs w:val="18"/>
              </w:rPr>
              <w:t>10代</w:t>
            </w:r>
            <w:r>
              <w:rPr>
                <w:rFonts w:hint="eastAsia" w:ascii="Times New Roman"/>
                <w:sz w:val="18"/>
                <w:szCs w:val="18"/>
              </w:rPr>
              <w:t>，4月~10月大量繁殖，危害严重。</w:t>
            </w:r>
          </w:p>
        </w:tc>
        <w:tc>
          <w:tcPr>
            <w:tcW w:w="2970" w:type="dxa"/>
            <w:shd w:val="clear" w:color="auto" w:fill="auto"/>
            <w:vAlign w:val="center"/>
          </w:tcPr>
          <w:p w14:paraId="1D20D122">
            <w:pPr>
              <w:pStyle w:val="230"/>
              <w:ind w:firstLine="0" w:firstLineChars="0"/>
              <w:jc w:val="left"/>
              <w:rPr>
                <w:rFonts w:ascii="Times New Roman"/>
                <w:sz w:val="18"/>
                <w:szCs w:val="18"/>
              </w:rPr>
            </w:pPr>
            <w:r>
              <w:rPr>
                <w:rFonts w:hint="eastAsia" w:ascii="Times New Roman"/>
                <w:sz w:val="18"/>
                <w:szCs w:val="18"/>
              </w:rPr>
              <w:t>休眠期做好清园。4月开始在园区周围进行药剂防治。果实成熟期禁止用药。</w:t>
            </w:r>
          </w:p>
        </w:tc>
      </w:tr>
      <w:tr w14:paraId="575060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46" w:type="dxa"/>
            <w:shd w:val="clear" w:color="auto" w:fill="auto"/>
            <w:vAlign w:val="center"/>
          </w:tcPr>
          <w:p w14:paraId="1F4072E2">
            <w:pPr>
              <w:pStyle w:val="230"/>
              <w:ind w:firstLine="0" w:firstLineChars="0"/>
              <w:jc w:val="center"/>
              <w:rPr>
                <w:rFonts w:ascii="Times New Roman"/>
                <w:sz w:val="18"/>
                <w:szCs w:val="18"/>
              </w:rPr>
            </w:pPr>
            <w:r>
              <w:rPr>
                <w:rFonts w:hint="eastAsia" w:ascii="Times New Roman"/>
                <w:sz w:val="18"/>
                <w:szCs w:val="18"/>
              </w:rPr>
              <w:t>介壳虫</w:t>
            </w:r>
          </w:p>
        </w:tc>
        <w:tc>
          <w:tcPr>
            <w:tcW w:w="4678" w:type="dxa"/>
            <w:shd w:val="clear" w:color="auto" w:fill="auto"/>
            <w:vAlign w:val="center"/>
          </w:tcPr>
          <w:p w14:paraId="06841DD3">
            <w:pPr>
              <w:pStyle w:val="230"/>
              <w:ind w:firstLine="0" w:firstLineChars="0"/>
              <w:jc w:val="left"/>
              <w:rPr>
                <w:rFonts w:ascii="Times New Roman"/>
                <w:sz w:val="18"/>
                <w:szCs w:val="18"/>
              </w:rPr>
            </w:pPr>
            <w:r>
              <w:rPr>
                <w:rFonts w:hint="eastAsia" w:ascii="Times New Roman"/>
                <w:sz w:val="18"/>
                <w:szCs w:val="18"/>
              </w:rPr>
              <w:t>主要为害植株茎干。一年发生1代~4代，以卵在土壤、杂草中越冬。3月中旬危害严重。</w:t>
            </w:r>
          </w:p>
        </w:tc>
        <w:tc>
          <w:tcPr>
            <w:tcW w:w="2970" w:type="dxa"/>
            <w:shd w:val="clear" w:color="auto" w:fill="auto"/>
            <w:vAlign w:val="center"/>
          </w:tcPr>
          <w:p w14:paraId="1578D357">
            <w:pPr>
              <w:pStyle w:val="230"/>
              <w:ind w:firstLine="0" w:firstLineChars="0"/>
              <w:jc w:val="left"/>
              <w:rPr>
                <w:rFonts w:ascii="Times New Roman"/>
                <w:sz w:val="18"/>
                <w:szCs w:val="18"/>
              </w:rPr>
            </w:pPr>
            <w:r>
              <w:rPr>
                <w:rFonts w:hint="eastAsia" w:ascii="Times New Roman"/>
                <w:sz w:val="18"/>
                <w:szCs w:val="18"/>
              </w:rPr>
              <w:t>休眠期做好清园。3月开始进行药剂防治。</w:t>
            </w:r>
          </w:p>
        </w:tc>
      </w:tr>
    </w:tbl>
    <w:p w14:paraId="4183F228">
      <w:pPr>
        <w:pStyle w:val="56"/>
        <w:ind w:firstLine="420"/>
      </w:pPr>
    </w:p>
    <w:p w14:paraId="7DEDB627">
      <w:pPr>
        <w:pStyle w:val="56"/>
        <w:ind w:firstLine="199" w:firstLineChars="95"/>
      </w:pPr>
    </w:p>
    <w:p w14:paraId="1160047A">
      <w:pPr>
        <w:pStyle w:val="56"/>
        <w:ind w:firstLine="420"/>
        <w:sectPr>
          <w:pgSz w:w="11906" w:h="16838"/>
          <w:pgMar w:top="1928" w:right="1134" w:bottom="1134" w:left="1134" w:header="1418" w:footer="1134" w:gutter="284"/>
          <w:cols w:space="425" w:num="1"/>
          <w:formProt w:val="0"/>
          <w:docGrid w:type="lines" w:linePitch="312" w:charSpace="0"/>
        </w:sectPr>
      </w:pPr>
    </w:p>
    <w:p w14:paraId="670DE05C">
      <w:pPr>
        <w:pStyle w:val="198"/>
        <w:rPr>
          <w:vanish w:val="0"/>
        </w:rPr>
      </w:pPr>
    </w:p>
    <w:p w14:paraId="1A650E47">
      <w:pPr>
        <w:pStyle w:val="199"/>
        <w:rPr>
          <w:vanish w:val="0"/>
        </w:rPr>
      </w:pPr>
    </w:p>
    <w:p w14:paraId="31E18001">
      <w:pPr>
        <w:pStyle w:val="76"/>
        <w:spacing w:after="156"/>
      </w:pPr>
      <w:r>
        <w:br w:type="textWrapping"/>
      </w:r>
      <w:bookmarkStart w:id="102" w:name="_Toc178597498"/>
      <w:r>
        <w:rPr>
          <w:rFonts w:hint="eastAsia"/>
        </w:rPr>
        <w:t>（资料性）</w:t>
      </w:r>
      <w:r>
        <w:br w:type="textWrapping"/>
      </w:r>
      <w:r>
        <w:rPr>
          <w:rFonts w:hint="eastAsia"/>
        </w:rPr>
        <w:t>蓝莓主要病虫害防治档案记录表</w:t>
      </w:r>
      <w:bookmarkEnd w:id="102"/>
    </w:p>
    <w:p w14:paraId="32F86168">
      <w:pPr>
        <w:pStyle w:val="56"/>
        <w:spacing w:after="156" w:afterLines="50"/>
        <w:ind w:firstLine="420"/>
        <w:jc w:val="left"/>
        <w:rPr>
          <w:rFonts w:ascii="黑体" w:eastAsia="黑体"/>
        </w:rPr>
      </w:pPr>
      <w:r>
        <w:rPr>
          <w:rFonts w:hint="eastAsia"/>
        </w:rPr>
        <w:t>蓝莓主要病虫害防治档案记录表见表B.1</w:t>
      </w:r>
    </w:p>
    <w:p w14:paraId="7DBDB1B6">
      <w:pPr>
        <w:pStyle w:val="56"/>
        <w:spacing w:after="156" w:afterLines="50"/>
        <w:ind w:firstLine="420"/>
        <w:jc w:val="center"/>
        <w:rPr>
          <w:rFonts w:ascii="黑体" w:eastAsia="黑体"/>
        </w:rPr>
      </w:pPr>
      <w:r>
        <w:rPr>
          <w:rFonts w:hint="eastAsia" w:ascii="黑体" w:eastAsia="黑体"/>
        </w:rPr>
        <w:t>表B.1 蓝莓主要病虫害防治档案记录表</w:t>
      </w:r>
    </w:p>
    <w:tbl>
      <w:tblPr>
        <w:tblStyle w:val="26"/>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76"/>
        <w:gridCol w:w="3260"/>
        <w:gridCol w:w="1560"/>
        <w:gridCol w:w="3118"/>
      </w:tblGrid>
      <w:tr w14:paraId="73D458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76" w:type="dxa"/>
            <w:shd w:val="clear" w:color="auto" w:fill="auto"/>
          </w:tcPr>
          <w:p w14:paraId="715798A3">
            <w:pPr>
              <w:pStyle w:val="230"/>
              <w:ind w:firstLine="0" w:firstLineChars="0"/>
              <w:rPr>
                <w:rFonts w:ascii="Times New Roman"/>
                <w:szCs w:val="18"/>
              </w:rPr>
            </w:pPr>
            <w:r>
              <w:rPr>
                <w:rFonts w:hint="eastAsia" w:ascii="Times New Roman"/>
                <w:szCs w:val="18"/>
              </w:rPr>
              <w:t>病虫害种类</w:t>
            </w:r>
          </w:p>
        </w:tc>
        <w:tc>
          <w:tcPr>
            <w:tcW w:w="3260" w:type="dxa"/>
            <w:shd w:val="clear" w:color="auto" w:fill="auto"/>
          </w:tcPr>
          <w:p w14:paraId="4887996E">
            <w:pPr>
              <w:pStyle w:val="230"/>
              <w:ind w:firstLine="0" w:firstLineChars="0"/>
              <w:rPr>
                <w:rFonts w:ascii="Times New Roman"/>
                <w:szCs w:val="18"/>
              </w:rPr>
            </w:pPr>
          </w:p>
        </w:tc>
        <w:tc>
          <w:tcPr>
            <w:tcW w:w="1560" w:type="dxa"/>
            <w:shd w:val="clear" w:color="auto" w:fill="auto"/>
          </w:tcPr>
          <w:p w14:paraId="1515E050">
            <w:pPr>
              <w:pStyle w:val="230"/>
              <w:ind w:firstLine="0" w:firstLineChars="0"/>
              <w:rPr>
                <w:rFonts w:ascii="Times New Roman"/>
                <w:szCs w:val="18"/>
              </w:rPr>
            </w:pPr>
            <w:r>
              <w:rPr>
                <w:rFonts w:ascii="Times New Roman"/>
                <w:szCs w:val="18"/>
              </w:rPr>
              <w:t>发生时间</w:t>
            </w:r>
          </w:p>
        </w:tc>
        <w:tc>
          <w:tcPr>
            <w:tcW w:w="3118" w:type="dxa"/>
            <w:shd w:val="clear" w:color="auto" w:fill="auto"/>
          </w:tcPr>
          <w:p w14:paraId="034B1E41">
            <w:pPr>
              <w:pStyle w:val="230"/>
              <w:ind w:firstLine="0" w:firstLineChars="0"/>
              <w:rPr>
                <w:rFonts w:ascii="Times New Roman"/>
                <w:szCs w:val="18"/>
              </w:rPr>
            </w:pPr>
          </w:p>
        </w:tc>
      </w:tr>
      <w:tr w14:paraId="7EEFAB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76" w:type="dxa"/>
            <w:shd w:val="clear" w:color="auto" w:fill="auto"/>
          </w:tcPr>
          <w:p w14:paraId="34461D38">
            <w:pPr>
              <w:pStyle w:val="230"/>
              <w:ind w:firstLine="0" w:firstLineChars="0"/>
              <w:rPr>
                <w:rFonts w:ascii="Times New Roman"/>
                <w:szCs w:val="18"/>
              </w:rPr>
            </w:pPr>
            <w:r>
              <w:rPr>
                <w:rFonts w:hint="eastAsia" w:ascii="Times New Roman"/>
                <w:szCs w:val="18"/>
              </w:rPr>
              <w:t>发生区域</w:t>
            </w:r>
          </w:p>
        </w:tc>
        <w:tc>
          <w:tcPr>
            <w:tcW w:w="3260" w:type="dxa"/>
            <w:shd w:val="clear" w:color="auto" w:fill="auto"/>
          </w:tcPr>
          <w:p w14:paraId="00DBCA7C">
            <w:pPr>
              <w:pStyle w:val="230"/>
              <w:ind w:firstLine="0" w:firstLineChars="0"/>
              <w:rPr>
                <w:rFonts w:ascii="Times New Roman"/>
                <w:szCs w:val="18"/>
              </w:rPr>
            </w:pPr>
          </w:p>
        </w:tc>
        <w:tc>
          <w:tcPr>
            <w:tcW w:w="1560" w:type="dxa"/>
            <w:shd w:val="clear" w:color="auto" w:fill="auto"/>
          </w:tcPr>
          <w:p w14:paraId="0AF3A20F">
            <w:pPr>
              <w:pStyle w:val="230"/>
              <w:ind w:firstLine="0" w:firstLineChars="0"/>
              <w:rPr>
                <w:rFonts w:ascii="Times New Roman"/>
                <w:szCs w:val="18"/>
              </w:rPr>
            </w:pPr>
            <w:r>
              <w:rPr>
                <w:rFonts w:hint="eastAsia" w:ascii="Times New Roman"/>
                <w:szCs w:val="18"/>
              </w:rPr>
              <w:t>发生面积</w:t>
            </w:r>
          </w:p>
        </w:tc>
        <w:tc>
          <w:tcPr>
            <w:tcW w:w="3118" w:type="dxa"/>
            <w:shd w:val="clear" w:color="auto" w:fill="auto"/>
          </w:tcPr>
          <w:p w14:paraId="3F9CD6F8">
            <w:pPr>
              <w:pStyle w:val="230"/>
              <w:ind w:firstLine="0" w:firstLineChars="0"/>
              <w:rPr>
                <w:rFonts w:ascii="Times New Roman"/>
                <w:szCs w:val="18"/>
              </w:rPr>
            </w:pPr>
          </w:p>
        </w:tc>
      </w:tr>
      <w:tr w14:paraId="754042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76" w:type="dxa"/>
            <w:shd w:val="clear" w:color="auto" w:fill="auto"/>
          </w:tcPr>
          <w:p w14:paraId="4BA4156A">
            <w:pPr>
              <w:pStyle w:val="230"/>
              <w:ind w:firstLine="0" w:firstLineChars="0"/>
              <w:rPr>
                <w:rFonts w:ascii="Times New Roman"/>
                <w:szCs w:val="18"/>
              </w:rPr>
            </w:pPr>
            <w:r>
              <w:rPr>
                <w:rFonts w:ascii="Times New Roman"/>
                <w:szCs w:val="18"/>
              </w:rPr>
              <w:t>危害</w:t>
            </w:r>
            <w:r>
              <w:rPr>
                <w:rFonts w:hint="eastAsia" w:ascii="Times New Roman"/>
                <w:szCs w:val="18"/>
              </w:rPr>
              <w:t>症状</w:t>
            </w:r>
          </w:p>
        </w:tc>
        <w:tc>
          <w:tcPr>
            <w:tcW w:w="7938" w:type="dxa"/>
            <w:gridSpan w:val="3"/>
            <w:shd w:val="clear" w:color="auto" w:fill="auto"/>
          </w:tcPr>
          <w:p w14:paraId="70D66DD4">
            <w:pPr>
              <w:pStyle w:val="230"/>
              <w:ind w:firstLine="0" w:firstLineChars="0"/>
              <w:rPr>
                <w:rFonts w:ascii="Times New Roman"/>
                <w:szCs w:val="18"/>
              </w:rPr>
            </w:pPr>
          </w:p>
          <w:p w14:paraId="6D40548D">
            <w:pPr>
              <w:pStyle w:val="230"/>
              <w:ind w:firstLine="0" w:firstLineChars="0"/>
              <w:rPr>
                <w:rFonts w:ascii="Times New Roman"/>
                <w:szCs w:val="18"/>
              </w:rPr>
            </w:pPr>
          </w:p>
          <w:p w14:paraId="57F88CD9">
            <w:pPr>
              <w:pStyle w:val="230"/>
              <w:ind w:firstLine="0" w:firstLineChars="0"/>
              <w:rPr>
                <w:rFonts w:ascii="Times New Roman"/>
                <w:szCs w:val="18"/>
              </w:rPr>
            </w:pPr>
          </w:p>
        </w:tc>
      </w:tr>
      <w:tr w14:paraId="339330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76" w:type="dxa"/>
            <w:shd w:val="clear" w:color="auto" w:fill="auto"/>
          </w:tcPr>
          <w:p w14:paraId="3D4E1C31">
            <w:pPr>
              <w:pStyle w:val="230"/>
              <w:ind w:firstLine="0" w:firstLineChars="0"/>
              <w:rPr>
                <w:rFonts w:ascii="Times New Roman"/>
                <w:szCs w:val="18"/>
              </w:rPr>
            </w:pPr>
            <w:r>
              <w:rPr>
                <w:rFonts w:hint="eastAsia" w:ascii="Times New Roman"/>
                <w:szCs w:val="18"/>
              </w:rPr>
              <w:t>药剂名称</w:t>
            </w:r>
          </w:p>
        </w:tc>
        <w:tc>
          <w:tcPr>
            <w:tcW w:w="3260" w:type="dxa"/>
            <w:shd w:val="clear" w:color="auto" w:fill="auto"/>
          </w:tcPr>
          <w:p w14:paraId="789C4642">
            <w:pPr>
              <w:pStyle w:val="230"/>
              <w:ind w:firstLine="0" w:firstLineChars="0"/>
              <w:rPr>
                <w:rFonts w:ascii="Times New Roman"/>
                <w:szCs w:val="18"/>
              </w:rPr>
            </w:pPr>
          </w:p>
        </w:tc>
        <w:tc>
          <w:tcPr>
            <w:tcW w:w="1560" w:type="dxa"/>
            <w:shd w:val="clear" w:color="auto" w:fill="auto"/>
          </w:tcPr>
          <w:p w14:paraId="1E40569A">
            <w:pPr>
              <w:pStyle w:val="230"/>
              <w:ind w:firstLine="0" w:firstLineChars="0"/>
              <w:rPr>
                <w:rFonts w:ascii="Times New Roman"/>
                <w:szCs w:val="18"/>
              </w:rPr>
            </w:pPr>
            <w:r>
              <w:rPr>
                <w:rFonts w:hint="eastAsia" w:ascii="Times New Roman"/>
                <w:szCs w:val="18"/>
              </w:rPr>
              <w:t>有效成分</w:t>
            </w:r>
          </w:p>
        </w:tc>
        <w:tc>
          <w:tcPr>
            <w:tcW w:w="3118" w:type="dxa"/>
            <w:shd w:val="clear" w:color="auto" w:fill="auto"/>
          </w:tcPr>
          <w:p w14:paraId="254718E8">
            <w:pPr>
              <w:pStyle w:val="230"/>
              <w:ind w:firstLine="0" w:firstLineChars="0"/>
              <w:rPr>
                <w:rFonts w:ascii="Times New Roman"/>
                <w:szCs w:val="18"/>
              </w:rPr>
            </w:pPr>
          </w:p>
        </w:tc>
      </w:tr>
      <w:tr w14:paraId="665C57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76" w:type="dxa"/>
            <w:shd w:val="clear" w:color="auto" w:fill="auto"/>
          </w:tcPr>
          <w:p w14:paraId="30B0163F">
            <w:pPr>
              <w:pStyle w:val="230"/>
              <w:ind w:firstLine="0" w:firstLineChars="0"/>
              <w:rPr>
                <w:rFonts w:ascii="Times New Roman"/>
                <w:szCs w:val="18"/>
              </w:rPr>
            </w:pPr>
            <w:r>
              <w:rPr>
                <w:rFonts w:hint="eastAsia" w:ascii="Times New Roman"/>
                <w:szCs w:val="18"/>
              </w:rPr>
              <w:t>施用方式</w:t>
            </w:r>
          </w:p>
        </w:tc>
        <w:tc>
          <w:tcPr>
            <w:tcW w:w="3260" w:type="dxa"/>
            <w:shd w:val="clear" w:color="auto" w:fill="auto"/>
          </w:tcPr>
          <w:p w14:paraId="6E522B6D">
            <w:pPr>
              <w:pStyle w:val="230"/>
              <w:ind w:firstLine="0" w:firstLineChars="0"/>
              <w:rPr>
                <w:rFonts w:ascii="Times New Roman"/>
                <w:szCs w:val="18"/>
              </w:rPr>
            </w:pPr>
          </w:p>
        </w:tc>
        <w:tc>
          <w:tcPr>
            <w:tcW w:w="1560" w:type="dxa"/>
            <w:shd w:val="clear" w:color="auto" w:fill="auto"/>
          </w:tcPr>
          <w:p w14:paraId="6158EBCF">
            <w:pPr>
              <w:pStyle w:val="230"/>
              <w:ind w:firstLine="0" w:firstLineChars="0"/>
              <w:rPr>
                <w:rFonts w:ascii="Times New Roman"/>
                <w:szCs w:val="18"/>
              </w:rPr>
            </w:pPr>
            <w:r>
              <w:rPr>
                <w:rFonts w:hint="eastAsia" w:ascii="Times New Roman"/>
                <w:szCs w:val="18"/>
              </w:rPr>
              <w:t>配比浓度</w:t>
            </w:r>
          </w:p>
        </w:tc>
        <w:tc>
          <w:tcPr>
            <w:tcW w:w="3118" w:type="dxa"/>
            <w:shd w:val="clear" w:color="auto" w:fill="auto"/>
          </w:tcPr>
          <w:p w14:paraId="2B5B3DBD">
            <w:pPr>
              <w:pStyle w:val="230"/>
              <w:ind w:firstLine="0" w:firstLineChars="0"/>
              <w:rPr>
                <w:rFonts w:ascii="Times New Roman"/>
                <w:szCs w:val="18"/>
              </w:rPr>
            </w:pPr>
          </w:p>
        </w:tc>
      </w:tr>
      <w:tr w14:paraId="510336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76" w:type="dxa"/>
            <w:shd w:val="clear" w:color="auto" w:fill="auto"/>
          </w:tcPr>
          <w:p w14:paraId="7FA1FD29">
            <w:pPr>
              <w:pStyle w:val="230"/>
              <w:ind w:firstLine="0" w:firstLineChars="0"/>
              <w:rPr>
                <w:rFonts w:ascii="Times New Roman"/>
                <w:szCs w:val="18"/>
              </w:rPr>
            </w:pPr>
            <w:r>
              <w:rPr>
                <w:rFonts w:hint="eastAsia" w:ascii="Times New Roman"/>
                <w:szCs w:val="18"/>
              </w:rPr>
              <w:t>记录人员</w:t>
            </w:r>
          </w:p>
        </w:tc>
        <w:tc>
          <w:tcPr>
            <w:tcW w:w="3260" w:type="dxa"/>
            <w:shd w:val="clear" w:color="auto" w:fill="auto"/>
          </w:tcPr>
          <w:p w14:paraId="047A00FD">
            <w:pPr>
              <w:pStyle w:val="230"/>
              <w:ind w:firstLine="0" w:firstLineChars="0"/>
              <w:rPr>
                <w:rFonts w:ascii="Times New Roman"/>
                <w:szCs w:val="18"/>
              </w:rPr>
            </w:pPr>
          </w:p>
        </w:tc>
        <w:tc>
          <w:tcPr>
            <w:tcW w:w="1560" w:type="dxa"/>
            <w:shd w:val="clear" w:color="auto" w:fill="auto"/>
          </w:tcPr>
          <w:p w14:paraId="57849D63">
            <w:pPr>
              <w:pStyle w:val="230"/>
              <w:ind w:firstLine="0" w:firstLineChars="0"/>
              <w:rPr>
                <w:rFonts w:ascii="Times New Roman"/>
                <w:szCs w:val="18"/>
              </w:rPr>
            </w:pPr>
            <w:r>
              <w:rPr>
                <w:rFonts w:hint="eastAsia" w:ascii="Times New Roman"/>
                <w:szCs w:val="18"/>
              </w:rPr>
              <w:t>联系电话</w:t>
            </w:r>
          </w:p>
        </w:tc>
        <w:tc>
          <w:tcPr>
            <w:tcW w:w="3118" w:type="dxa"/>
            <w:shd w:val="clear" w:color="auto" w:fill="auto"/>
          </w:tcPr>
          <w:p w14:paraId="1596B0A4">
            <w:pPr>
              <w:pStyle w:val="230"/>
              <w:ind w:firstLine="0" w:firstLineChars="0"/>
              <w:rPr>
                <w:rFonts w:ascii="Times New Roman"/>
                <w:szCs w:val="18"/>
              </w:rPr>
            </w:pPr>
          </w:p>
        </w:tc>
      </w:tr>
      <w:tr w14:paraId="501944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76" w:type="dxa"/>
            <w:shd w:val="clear" w:color="auto" w:fill="auto"/>
          </w:tcPr>
          <w:p w14:paraId="0352A68A">
            <w:pPr>
              <w:pStyle w:val="230"/>
              <w:ind w:firstLine="0" w:firstLineChars="0"/>
              <w:rPr>
                <w:rFonts w:ascii="Times New Roman"/>
                <w:szCs w:val="18"/>
              </w:rPr>
            </w:pPr>
            <w:r>
              <w:rPr>
                <w:rFonts w:hint="eastAsia" w:ascii="Times New Roman"/>
                <w:szCs w:val="18"/>
              </w:rPr>
              <w:t>具体防治措施及效果</w:t>
            </w:r>
          </w:p>
        </w:tc>
        <w:tc>
          <w:tcPr>
            <w:tcW w:w="7938" w:type="dxa"/>
            <w:gridSpan w:val="3"/>
            <w:shd w:val="clear" w:color="auto" w:fill="auto"/>
          </w:tcPr>
          <w:p w14:paraId="14CBA186">
            <w:pPr>
              <w:pStyle w:val="230"/>
              <w:ind w:firstLine="0" w:firstLineChars="0"/>
              <w:rPr>
                <w:rFonts w:ascii="Times New Roman"/>
                <w:szCs w:val="18"/>
              </w:rPr>
            </w:pPr>
          </w:p>
          <w:p w14:paraId="63005DA8">
            <w:pPr>
              <w:pStyle w:val="230"/>
              <w:ind w:firstLine="0" w:firstLineChars="0"/>
              <w:rPr>
                <w:rFonts w:ascii="Times New Roman"/>
                <w:szCs w:val="18"/>
              </w:rPr>
            </w:pPr>
          </w:p>
          <w:p w14:paraId="2015EDEB">
            <w:pPr>
              <w:pStyle w:val="230"/>
              <w:ind w:firstLine="0" w:firstLineChars="0"/>
              <w:rPr>
                <w:rFonts w:ascii="Times New Roman"/>
                <w:szCs w:val="18"/>
              </w:rPr>
            </w:pPr>
          </w:p>
          <w:p w14:paraId="04551BD4">
            <w:pPr>
              <w:pStyle w:val="230"/>
              <w:ind w:firstLine="0" w:firstLineChars="0"/>
              <w:rPr>
                <w:rFonts w:ascii="Times New Roman"/>
                <w:szCs w:val="18"/>
              </w:rPr>
            </w:pPr>
          </w:p>
        </w:tc>
      </w:tr>
    </w:tbl>
    <w:p w14:paraId="74572443">
      <w:pPr>
        <w:pStyle w:val="56"/>
        <w:ind w:firstLine="420"/>
      </w:pPr>
    </w:p>
    <w:p w14:paraId="66F5F7EF">
      <w:pPr>
        <w:pStyle w:val="56"/>
        <w:ind w:firstLine="420"/>
      </w:pPr>
    </w:p>
    <w:p w14:paraId="053582F7">
      <w:pPr>
        <w:pStyle w:val="56"/>
        <w:ind w:firstLine="420"/>
        <w:jc w:val="center"/>
      </w:pPr>
      <w:r>
        <w:rPr>
          <w:rFonts w:hint="eastAsia"/>
        </w:rPr>
        <w:drawing>
          <wp:inline distT="0" distB="0" distL="0" distR="0">
            <wp:extent cx="1584960" cy="314325"/>
            <wp:effectExtent l="0" t="0" r="0" b="0"/>
            <wp:docPr id="14" name="图片 14"/>
            <wp:cNvGraphicFramePr/>
            <a:graphic xmlns:a="http://schemas.openxmlformats.org/drawingml/2006/main">
              <a:graphicData uri="http://schemas.openxmlformats.org/drawingml/2006/picture">
                <pic:pic xmlns:pic="http://schemas.openxmlformats.org/drawingml/2006/picture">
                  <pic:nvPicPr>
                    <pic:cNvPr id="14" name="图片 14"/>
                    <pic:cNvPicPr/>
                  </pic:nvPicPr>
                  <pic:blipFill>
                    <a:blip r:embed="rId16" cstate="print"/>
                    <a:stretch>
                      <a:fillRect/>
                    </a:stretch>
                  </pic:blipFill>
                  <pic:spPr>
                    <a:xfrm>
                      <a:off x="0" y="0"/>
                      <a:ext cx="1601355" cy="317500"/>
                    </a:xfrm>
                    <a:prstGeom prst="rect">
                      <a:avLst/>
                    </a:prstGeom>
                  </pic:spPr>
                </pic:pic>
              </a:graphicData>
            </a:graphic>
          </wp:inline>
        </w:drawing>
      </w:r>
    </w:p>
    <w:p w14:paraId="70EDE9DC">
      <w:pPr>
        <w:pStyle w:val="56"/>
        <w:ind w:firstLine="420"/>
      </w:pPr>
    </w:p>
    <w:bookmarkEnd w:id="100"/>
    <w:p w14:paraId="72319C99">
      <w:pPr>
        <w:pStyle w:val="56"/>
        <w:ind w:firstLine="420"/>
      </w:pPr>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BA4D68">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9053F2">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D9E1D6">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9AFB23">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1A982D">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57264B">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F8BA1B">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3BE744">
    <w:pPr>
      <w:pStyle w:val="61"/>
    </w:pPr>
    <w:r>
      <w:fldChar w:fldCharType="begin"/>
    </w:r>
    <w:r>
      <w:instrText xml:space="preserve"> STYLEREF  标准文件_文件编号  \* MERGEFORMAT </w:instrText>
    </w:r>
    <w:r>
      <w:fldChar w:fldCharType="separate"/>
    </w:r>
    <w:r>
      <w:t>DB 32/T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6F3CE">
    <w:pPr>
      <w:pStyle w:val="18"/>
      <w:jc w:val="right"/>
      <w:rPr>
        <w:lang w:val="fr-FR"/>
      </w:rPr>
    </w:pPr>
    <w:r>
      <w:fldChar w:fldCharType="begin"/>
    </w:r>
    <w:r>
      <w:instrText xml:space="preserve"> STYLEREF  标准文件_文件编号  \* MERGEFORMAT </w:instrText>
    </w:r>
    <w:r>
      <w:fldChar w:fldCharType="separate"/>
    </w:r>
    <w:r>
      <w:t>DB 32/T XXXX—XXXX</w:t>
    </w:r>
    <w:r>
      <w:rPr>
        <w:lang w:val="fr-F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pStyle w:val="233"/>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2"/>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234"/>
      <w:suff w:val="nothing"/>
      <w:lvlText w:val="%1.%2.%3　"/>
      <w:lvlJc w:val="left"/>
      <w:pPr>
        <w:ind w:left="425"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235"/>
      <w:suff w:val="nothing"/>
      <w:lvlText w:val="%1.%2.%3.%4.%5　"/>
      <w:lvlJc w:val="left"/>
      <w:pPr>
        <w:ind w:left="0" w:firstLine="0"/>
      </w:pPr>
      <w:rPr>
        <w:rFonts w:hint="eastAsia" w:ascii="黑体" w:hAnsi="Times New Roman" w:eastAsia="黑体"/>
        <w:b w:val="0"/>
        <w:i w:val="0"/>
        <w:sz w:val="21"/>
      </w:rPr>
    </w:lvl>
    <w:lvl w:ilvl="5" w:tentative="0">
      <w:start w:val="1"/>
      <w:numFmt w:val="decimal"/>
      <w:pStyle w:val="236"/>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5"/>
      <w:suff w:val="nothing"/>
      <w:lvlText w:val="%1%2.%3.%4　"/>
      <w:lvlJc w:val="left"/>
      <w:pPr>
        <w:ind w:left="284"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dit="forms" w:enforcement="1" w:cryptProviderType="rsaAES" w:cryptAlgorithmClass="hash" w:cryptAlgorithmType="typeAny" w:cryptAlgorithmSid="14" w:cryptSpinCount="100000" w:hash="RdWoYYiGDrywrkpyCEFOR9Zh3oQyB1h96KjMtqINWnOQuuEiHaZ97UndLvMHb1LwTM4e/A3pETY8ByZsNYcmGw==" w:salt="+1RE4Kp/eTG2YN0HcnZSL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mNDNkOWUxODQ5YzRjYzI2Mjk0ZTQ4NGE4MDc3ZDUifQ=="/>
  </w:docVars>
  <w:rsids>
    <w:rsidRoot w:val="00042DC0"/>
    <w:rsid w:val="0000040A"/>
    <w:rsid w:val="00000A94"/>
    <w:rsid w:val="00001972"/>
    <w:rsid w:val="00001D9A"/>
    <w:rsid w:val="00007B3A"/>
    <w:rsid w:val="000107E0"/>
    <w:rsid w:val="0001146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2DC0"/>
    <w:rsid w:val="000430C6"/>
    <w:rsid w:val="00043282"/>
    <w:rsid w:val="00044286"/>
    <w:rsid w:val="000475E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2F9A"/>
    <w:rsid w:val="00083D2C"/>
    <w:rsid w:val="00086AA1"/>
    <w:rsid w:val="00087A77"/>
    <w:rsid w:val="00090CA6"/>
    <w:rsid w:val="00092B8A"/>
    <w:rsid w:val="00092FB0"/>
    <w:rsid w:val="000934C5"/>
    <w:rsid w:val="00093D25"/>
    <w:rsid w:val="00093DAB"/>
    <w:rsid w:val="00094D73"/>
    <w:rsid w:val="00096D63"/>
    <w:rsid w:val="00097548"/>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04BE2"/>
    <w:rsid w:val="00113B1E"/>
    <w:rsid w:val="00115F52"/>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386E"/>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97F"/>
    <w:rsid w:val="001C2C03"/>
    <w:rsid w:val="001C42F7"/>
    <w:rsid w:val="001C454A"/>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2708"/>
    <w:rsid w:val="001F4816"/>
    <w:rsid w:val="001F4EE9"/>
    <w:rsid w:val="001F69B4"/>
    <w:rsid w:val="001F77C7"/>
    <w:rsid w:val="00200183"/>
    <w:rsid w:val="00200333"/>
    <w:rsid w:val="0020107D"/>
    <w:rsid w:val="00202AA4"/>
    <w:rsid w:val="002031F7"/>
    <w:rsid w:val="002040E6"/>
    <w:rsid w:val="0020527B"/>
    <w:rsid w:val="00205F2C"/>
    <w:rsid w:val="00207146"/>
    <w:rsid w:val="00210B15"/>
    <w:rsid w:val="0021342A"/>
    <w:rsid w:val="002142EA"/>
    <w:rsid w:val="002204BB"/>
    <w:rsid w:val="00221B79"/>
    <w:rsid w:val="00221C6B"/>
    <w:rsid w:val="002253A1"/>
    <w:rsid w:val="002259E1"/>
    <w:rsid w:val="00225CF8"/>
    <w:rsid w:val="0022794E"/>
    <w:rsid w:val="00233D64"/>
    <w:rsid w:val="0023482A"/>
    <w:rsid w:val="002359CB"/>
    <w:rsid w:val="00243540"/>
    <w:rsid w:val="0024497B"/>
    <w:rsid w:val="0024515B"/>
    <w:rsid w:val="00245468"/>
    <w:rsid w:val="00246021"/>
    <w:rsid w:val="0024666E"/>
    <w:rsid w:val="00247F52"/>
    <w:rsid w:val="00250B25"/>
    <w:rsid w:val="00250BBE"/>
    <w:rsid w:val="002515C2"/>
    <w:rsid w:val="0025194F"/>
    <w:rsid w:val="0025275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6706"/>
    <w:rsid w:val="002A757F"/>
    <w:rsid w:val="002A7F44"/>
    <w:rsid w:val="002B0C40"/>
    <w:rsid w:val="002B1966"/>
    <w:rsid w:val="002B35B5"/>
    <w:rsid w:val="002B42F3"/>
    <w:rsid w:val="002B4508"/>
    <w:rsid w:val="002B5779"/>
    <w:rsid w:val="002B7332"/>
    <w:rsid w:val="002B7F51"/>
    <w:rsid w:val="002C09E7"/>
    <w:rsid w:val="002C1AB4"/>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5044"/>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B7CB5"/>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1D99"/>
    <w:rsid w:val="00432C37"/>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4E4"/>
    <w:rsid w:val="0047583F"/>
    <w:rsid w:val="00475DE8"/>
    <w:rsid w:val="00481C44"/>
    <w:rsid w:val="00482FAD"/>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0CE5"/>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67D0"/>
    <w:rsid w:val="005479DA"/>
    <w:rsid w:val="00547BCC"/>
    <w:rsid w:val="0055013B"/>
    <w:rsid w:val="00551F6F"/>
    <w:rsid w:val="00555044"/>
    <w:rsid w:val="00561475"/>
    <w:rsid w:val="0056487B"/>
    <w:rsid w:val="00564FB9"/>
    <w:rsid w:val="00565056"/>
    <w:rsid w:val="00573D9E"/>
    <w:rsid w:val="005801E3"/>
    <w:rsid w:val="00581802"/>
    <w:rsid w:val="005836A8"/>
    <w:rsid w:val="0058409C"/>
    <w:rsid w:val="00584262"/>
    <w:rsid w:val="00586630"/>
    <w:rsid w:val="00587ADD"/>
    <w:rsid w:val="00591308"/>
    <w:rsid w:val="00591E27"/>
    <w:rsid w:val="00596160"/>
    <w:rsid w:val="005962F9"/>
    <w:rsid w:val="005966E2"/>
    <w:rsid w:val="00597007"/>
    <w:rsid w:val="005A0966"/>
    <w:rsid w:val="005A11B7"/>
    <w:rsid w:val="005A260B"/>
    <w:rsid w:val="005A2644"/>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3543"/>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714"/>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4EE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986"/>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E37F8"/>
    <w:rsid w:val="006E6BA0"/>
    <w:rsid w:val="006F03A8"/>
    <w:rsid w:val="006F2ACA"/>
    <w:rsid w:val="006F2ADC"/>
    <w:rsid w:val="006F2BFE"/>
    <w:rsid w:val="006F31E9"/>
    <w:rsid w:val="006F6284"/>
    <w:rsid w:val="007002C5"/>
    <w:rsid w:val="00704387"/>
    <w:rsid w:val="007071E7"/>
    <w:rsid w:val="00707669"/>
    <w:rsid w:val="00711CBA"/>
    <w:rsid w:val="00711FB5"/>
    <w:rsid w:val="00712A01"/>
    <w:rsid w:val="00714F58"/>
    <w:rsid w:val="00716884"/>
    <w:rsid w:val="00722FBF"/>
    <w:rsid w:val="00722FC2"/>
    <w:rsid w:val="00724879"/>
    <w:rsid w:val="00724E1B"/>
    <w:rsid w:val="00725949"/>
    <w:rsid w:val="00727FA2"/>
    <w:rsid w:val="007322D9"/>
    <w:rsid w:val="00732BC0"/>
    <w:rsid w:val="0073595A"/>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101E"/>
    <w:rsid w:val="00752B4D"/>
    <w:rsid w:val="00755402"/>
    <w:rsid w:val="00756B26"/>
    <w:rsid w:val="00756EDF"/>
    <w:rsid w:val="007600E3"/>
    <w:rsid w:val="00763877"/>
    <w:rsid w:val="00765C43"/>
    <w:rsid w:val="00765EFB"/>
    <w:rsid w:val="00765F4D"/>
    <w:rsid w:val="007671CA"/>
    <w:rsid w:val="00767B05"/>
    <w:rsid w:val="00767C61"/>
    <w:rsid w:val="0077008A"/>
    <w:rsid w:val="00773C1F"/>
    <w:rsid w:val="00774DA4"/>
    <w:rsid w:val="00776599"/>
    <w:rsid w:val="00780793"/>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75E"/>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020"/>
    <w:rsid w:val="008F0CDC"/>
    <w:rsid w:val="008F17A3"/>
    <w:rsid w:val="008F1ED3"/>
    <w:rsid w:val="008F23A5"/>
    <w:rsid w:val="008F4C29"/>
    <w:rsid w:val="008F70BD"/>
    <w:rsid w:val="008F788F"/>
    <w:rsid w:val="008F7EA2"/>
    <w:rsid w:val="00902722"/>
    <w:rsid w:val="009027BC"/>
    <w:rsid w:val="009062E6"/>
    <w:rsid w:val="00911BE5"/>
    <w:rsid w:val="009126F7"/>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4282"/>
    <w:rsid w:val="00977010"/>
    <w:rsid w:val="00977D02"/>
    <w:rsid w:val="009809BB"/>
    <w:rsid w:val="0098364B"/>
    <w:rsid w:val="009911AF"/>
    <w:rsid w:val="00991875"/>
    <w:rsid w:val="00991F92"/>
    <w:rsid w:val="00992985"/>
    <w:rsid w:val="00993889"/>
    <w:rsid w:val="0099551B"/>
    <w:rsid w:val="00997BF1"/>
    <w:rsid w:val="009A0434"/>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59F7"/>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1BD"/>
    <w:rsid w:val="00A153D9"/>
    <w:rsid w:val="00A15F09"/>
    <w:rsid w:val="00A169B6"/>
    <w:rsid w:val="00A2271D"/>
    <w:rsid w:val="00A237D5"/>
    <w:rsid w:val="00A30EFC"/>
    <w:rsid w:val="00A31984"/>
    <w:rsid w:val="00A32D73"/>
    <w:rsid w:val="00A3367B"/>
    <w:rsid w:val="00A3563C"/>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12AB"/>
    <w:rsid w:val="00A81946"/>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156"/>
    <w:rsid w:val="00AC4D95"/>
    <w:rsid w:val="00AC5DF4"/>
    <w:rsid w:val="00AC7DCE"/>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2BBF"/>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0253"/>
    <w:rsid w:val="00BB203B"/>
    <w:rsid w:val="00BB2AD6"/>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5F6E"/>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2D11"/>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39E6"/>
    <w:rsid w:val="00D1489E"/>
    <w:rsid w:val="00D16875"/>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3CC"/>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273C1"/>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45BE"/>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5D74"/>
    <w:rsid w:val="00EA61BC"/>
    <w:rsid w:val="00EA681A"/>
    <w:rsid w:val="00EA735B"/>
    <w:rsid w:val="00EB0F1F"/>
    <w:rsid w:val="00EB17DE"/>
    <w:rsid w:val="00EB1E69"/>
    <w:rsid w:val="00EB2086"/>
    <w:rsid w:val="00EB5EDF"/>
    <w:rsid w:val="00EB60FE"/>
    <w:rsid w:val="00EB74DB"/>
    <w:rsid w:val="00EC5359"/>
    <w:rsid w:val="00EC562A"/>
    <w:rsid w:val="00ED067A"/>
    <w:rsid w:val="00ED2B50"/>
    <w:rsid w:val="00EE0350"/>
    <w:rsid w:val="00EE0719"/>
    <w:rsid w:val="00EE0E80"/>
    <w:rsid w:val="00EE0F0D"/>
    <w:rsid w:val="00EE54A6"/>
    <w:rsid w:val="00EE613F"/>
    <w:rsid w:val="00EE7295"/>
    <w:rsid w:val="00EE7869"/>
    <w:rsid w:val="00EF054A"/>
    <w:rsid w:val="00EF3235"/>
    <w:rsid w:val="00EF7E72"/>
    <w:rsid w:val="00F06D37"/>
    <w:rsid w:val="00F07B9D"/>
    <w:rsid w:val="00F11586"/>
    <w:rsid w:val="00F1183B"/>
    <w:rsid w:val="00F11C9F"/>
    <w:rsid w:val="00F12263"/>
    <w:rsid w:val="00F12957"/>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0C16"/>
    <w:rsid w:val="00F6194E"/>
    <w:rsid w:val="00F623AC"/>
    <w:rsid w:val="00F6412A"/>
    <w:rsid w:val="00F65893"/>
    <w:rsid w:val="00F66A4A"/>
    <w:rsid w:val="00F71E22"/>
    <w:rsid w:val="00F72142"/>
    <w:rsid w:val="00F72AE7"/>
    <w:rsid w:val="00F81141"/>
    <w:rsid w:val="00F8227D"/>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43C7"/>
    <w:rsid w:val="00FC55B4"/>
    <w:rsid w:val="00FD00E6"/>
    <w:rsid w:val="00FD09A1"/>
    <w:rsid w:val="00FD2A7C"/>
    <w:rsid w:val="00FD59EB"/>
    <w:rsid w:val="00FD7299"/>
    <w:rsid w:val="00FE1FBE"/>
    <w:rsid w:val="00FE3901"/>
    <w:rsid w:val="00FE39D3"/>
    <w:rsid w:val="00FE403A"/>
    <w:rsid w:val="00FE4BCE"/>
    <w:rsid w:val="00FE54AE"/>
    <w:rsid w:val="00FE576A"/>
    <w:rsid w:val="00FE7E79"/>
    <w:rsid w:val="00FF3E7D"/>
    <w:rsid w:val="00FF5B99"/>
    <w:rsid w:val="00FF730C"/>
    <w:rsid w:val="00FF73F4"/>
    <w:rsid w:val="00FF7CE4"/>
    <w:rsid w:val="00FF7E39"/>
    <w:rsid w:val="77A032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unhideWhenUsed="0" w:uiPriority="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uiPriority w:val="0"/>
    <w:rPr>
      <w:b/>
      <w:bCs/>
      <w:kern w:val="2"/>
      <w:sz w:val="28"/>
      <w:szCs w:val="28"/>
    </w:rPr>
  </w:style>
  <w:style w:type="character" w:customStyle="1" w:styleId="39">
    <w:name w:val="标题 6 Char"/>
    <w:link w:val="7"/>
    <w:uiPriority w:val="0"/>
    <w:rPr>
      <w:rFonts w:ascii="Arial" w:hAnsi="Arial" w:eastAsia="黑体"/>
      <w:b/>
      <w:bCs/>
      <w:kern w:val="2"/>
      <w:sz w:val="24"/>
      <w:szCs w:val="24"/>
    </w:rPr>
  </w:style>
  <w:style w:type="character" w:customStyle="1" w:styleId="40">
    <w:name w:val="标题 7 Char"/>
    <w:link w:val="8"/>
    <w:uiPriority w:val="0"/>
    <w:rPr>
      <w:b/>
      <w:bCs/>
      <w:kern w:val="2"/>
      <w:sz w:val="24"/>
      <w:szCs w:val="24"/>
    </w:rPr>
  </w:style>
  <w:style w:type="character" w:customStyle="1" w:styleId="41">
    <w:name w:val="标题 8 Char"/>
    <w:link w:val="9"/>
    <w:uiPriority w:val="0"/>
    <w:rPr>
      <w:rFonts w:ascii="Arial" w:hAnsi="Arial" w:eastAsia="黑体"/>
      <w:kern w:val="2"/>
      <w:sz w:val="24"/>
      <w:szCs w:val="24"/>
    </w:rPr>
  </w:style>
  <w:style w:type="character" w:customStyle="1" w:styleId="42">
    <w:name w:val="标题 9 Char"/>
    <w:link w:val="10"/>
    <w:uiPriority w:val="0"/>
    <w:rPr>
      <w:rFonts w:ascii="Arial" w:hAnsi="Arial" w:eastAsia="黑体"/>
      <w:kern w:val="2"/>
      <w:sz w:val="21"/>
      <w:szCs w:val="21"/>
    </w:rPr>
  </w:style>
  <w:style w:type="character" w:customStyle="1" w:styleId="43">
    <w:name w:val="页眉 Char"/>
    <w:link w:val="18"/>
    <w:uiPriority w:val="99"/>
    <w:rPr>
      <w:kern w:val="2"/>
      <w:sz w:val="18"/>
      <w:szCs w:val="18"/>
    </w:rPr>
  </w:style>
  <w:style w:type="character" w:customStyle="1" w:styleId="44">
    <w:name w:val="页脚 Char"/>
    <w:link w:val="17"/>
    <w:uiPriority w:val="99"/>
    <w:rPr>
      <w:rFonts w:ascii="宋体"/>
      <w:kern w:val="2"/>
      <w:sz w:val="18"/>
      <w:szCs w:val="18"/>
    </w:rPr>
  </w:style>
  <w:style w:type="character" w:customStyle="1" w:styleId="45">
    <w:name w:val="批注框文本 Char"/>
    <w:link w:val="16"/>
    <w:semiHidden/>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uiPriority w:val="29"/>
    <w:rPr>
      <w:i/>
      <w:iCs/>
      <w:color w:val="000000"/>
      <w:kern w:val="2"/>
      <w:sz w:val="21"/>
      <w:szCs w:val="21"/>
    </w:rPr>
  </w:style>
  <w:style w:type="character" w:customStyle="1" w:styleId="48">
    <w:name w:val="标题 Char"/>
    <w:link w:val="25"/>
    <w:uiPriority w:val="0"/>
    <w:rPr>
      <w:rFonts w:ascii="Arial" w:hAnsi="Arial" w:cs="Arial"/>
      <w:b/>
      <w:bCs/>
      <w:kern w:val="2"/>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uiPriority w:val="0"/>
    <w:pPr>
      <w:jc w:val="left"/>
    </w:pPr>
  </w:style>
  <w:style w:type="paragraph" w:customStyle="1" w:styleId="63">
    <w:name w:val="标准文件_参考文献标题"/>
    <w:basedOn w:val="1"/>
    <w:next w:val="1"/>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uiPriority w:val="0"/>
    <w:pPr>
      <w:widowControl w:val="0"/>
      <w:numPr>
        <w:ilvl w:val="3"/>
        <w:numId w:val="2"/>
      </w:numPr>
      <w:spacing w:beforeLines="50" w:afterLines="50"/>
      <w:ind w:left="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uiPriority w:val="0"/>
    <w:pPr>
      <w:numPr>
        <w:ilvl w:val="0"/>
        <w:numId w:val="3"/>
      </w:numPr>
      <w:ind w:firstLine="0" w:firstLineChars="0"/>
    </w:pPr>
  </w:style>
  <w:style w:type="paragraph" w:customStyle="1" w:styleId="68">
    <w:name w:val="标准文件_封面标准编号"/>
    <w:basedOn w:val="1"/>
    <w:next w:val="59"/>
    <w:uiPriority w:val="0"/>
    <w:pPr>
      <w:spacing w:line="310" w:lineRule="exact"/>
      <w:jc w:val="right"/>
    </w:pPr>
    <w:rPr>
      <w:rFonts w:ascii="黑体" w:eastAsia="黑体"/>
      <w:kern w:val="0"/>
      <w:sz w:val="28"/>
    </w:rPr>
  </w:style>
  <w:style w:type="paragraph" w:customStyle="1" w:styleId="69">
    <w:name w:val="标准文件_封面标准分类号"/>
    <w:basedOn w:val="1"/>
    <w:uiPriority w:val="0"/>
    <w:rPr>
      <w:rFonts w:ascii="黑体" w:eastAsia="黑体"/>
      <w:b/>
      <w:kern w:val="0"/>
      <w:sz w:val="28"/>
    </w:rPr>
  </w:style>
  <w:style w:type="paragraph" w:customStyle="1" w:styleId="70">
    <w:name w:val="标准文件_封面标准名称"/>
    <w:basedOn w:val="1"/>
    <w:uiPriority w:val="0"/>
    <w:pPr>
      <w:spacing w:line="240" w:lineRule="auto"/>
      <w:jc w:val="center"/>
    </w:pPr>
    <w:rPr>
      <w:rFonts w:ascii="黑体" w:eastAsia="黑体"/>
      <w:kern w:val="0"/>
      <w:sz w:val="52"/>
    </w:rPr>
  </w:style>
  <w:style w:type="paragraph" w:customStyle="1" w:styleId="71">
    <w:name w:val="标准文件_封面标准英文名称"/>
    <w:basedOn w:val="1"/>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uiPriority w:val="0"/>
    <w:pPr>
      <w:spacing w:line="310" w:lineRule="exact"/>
      <w:jc w:val="right"/>
    </w:pPr>
    <w:rPr>
      <w:rFonts w:ascii="黑体" w:eastAsia="黑体"/>
      <w:sz w:val="28"/>
    </w:rPr>
  </w:style>
  <w:style w:type="paragraph" w:customStyle="1" w:styleId="75">
    <w:name w:val="标准文件_封面抬头"/>
    <w:basedOn w:val="56"/>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uiPriority w:val="0"/>
    <w:rPr>
      <w:kern w:val="2"/>
      <w:sz w:val="21"/>
      <w:szCs w:val="21"/>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ind w:left="0" w:firstLine="0"/>
    </w:pPr>
  </w:style>
  <w:style w:type="paragraph" w:customStyle="1" w:styleId="91">
    <w:name w:val="标准文件_目录标题"/>
    <w:basedOn w:val="1"/>
    <w:uiPriority w:val="0"/>
    <w:pPr>
      <w:spacing w:before="48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pPr>
  </w:style>
  <w:style w:type="paragraph" w:customStyle="1" w:styleId="94">
    <w:name w:val="标准文件_三级条标题"/>
    <w:basedOn w:val="65"/>
    <w:next w:val="56"/>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uiPriority w:val="0"/>
    <w:rPr>
      <w:rFonts w:ascii="宋体"/>
      <w:kern w:val="2"/>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Lines="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Lines="0" w:afterLines="0"/>
      <w:outlineLvl w:val="9"/>
    </w:pPr>
    <w:rPr>
      <w:rFonts w:ascii="宋体" w:eastAsia="宋体"/>
    </w:rPr>
  </w:style>
  <w:style w:type="paragraph" w:customStyle="1" w:styleId="163">
    <w:name w:val="标准文件_五级无标题"/>
    <w:basedOn w:val="103"/>
    <w:qFormat/>
    <w:uiPriority w:val="0"/>
    <w:pPr>
      <w:spacing w:beforeLines="0" w:afterLines="0"/>
      <w:outlineLvl w:val="9"/>
    </w:pPr>
    <w:rPr>
      <w:rFonts w:ascii="宋体" w:eastAsia="宋体"/>
    </w:rPr>
  </w:style>
  <w:style w:type="paragraph" w:customStyle="1" w:styleId="164">
    <w:name w:val="标准文件_三级无标题"/>
    <w:basedOn w:val="94"/>
    <w:qFormat/>
    <w:uiPriority w:val="0"/>
    <w:pPr>
      <w:spacing w:beforeLines="0" w:afterLines="0"/>
      <w:outlineLvl w:val="9"/>
    </w:pPr>
    <w:rPr>
      <w:rFonts w:ascii="宋体" w:eastAsia="宋体"/>
    </w:rPr>
  </w:style>
  <w:style w:type="paragraph" w:customStyle="1" w:styleId="165">
    <w:name w:val="标准文件_二级无标题"/>
    <w:basedOn w:val="65"/>
    <w:qFormat/>
    <w:uiPriority w:val="0"/>
    <w:pPr>
      <w:spacing w:beforeLines="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Lines="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Lines="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Lines="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Lines="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Lines="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Lines="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Lines="0" w:afterLines="0" w:line="276" w:lineRule="auto"/>
      <w:outlineLvl w:val="9"/>
    </w:pPr>
    <w:rPr>
      <w:rFonts w:ascii="宋体" w:eastAsia="宋体"/>
    </w:rPr>
  </w:style>
  <w:style w:type="paragraph" w:customStyle="1" w:styleId="212">
    <w:name w:val="标准文件_附录二级无标题"/>
    <w:basedOn w:val="79"/>
    <w:qFormat/>
    <w:uiPriority w:val="0"/>
    <w:pPr>
      <w:spacing w:beforeLines="0" w:afterLines="0" w:line="276" w:lineRule="auto"/>
      <w:outlineLvl w:val="9"/>
    </w:pPr>
    <w:rPr>
      <w:rFonts w:ascii="宋体" w:eastAsia="宋体"/>
    </w:rPr>
  </w:style>
  <w:style w:type="paragraph" w:customStyle="1" w:styleId="213">
    <w:name w:val="标准文件_附录三级无标题"/>
    <w:basedOn w:val="81"/>
    <w:qFormat/>
    <w:uiPriority w:val="0"/>
    <w:pPr>
      <w:spacing w:beforeLines="0" w:afterLines="0" w:line="276" w:lineRule="auto"/>
      <w:outlineLvl w:val="9"/>
    </w:pPr>
    <w:rPr>
      <w:rFonts w:ascii="宋体" w:eastAsia="宋体"/>
    </w:rPr>
  </w:style>
  <w:style w:type="paragraph" w:customStyle="1" w:styleId="214">
    <w:name w:val="标准文件_附录四级无标题"/>
    <w:basedOn w:val="82"/>
    <w:qFormat/>
    <w:uiPriority w:val="0"/>
    <w:pPr>
      <w:spacing w:beforeLines="0" w:afterLines="0" w:line="276" w:lineRule="auto"/>
      <w:outlineLvl w:val="9"/>
    </w:pPr>
    <w:rPr>
      <w:rFonts w:ascii="宋体" w:eastAsia="宋体"/>
    </w:rPr>
  </w:style>
  <w:style w:type="paragraph" w:customStyle="1" w:styleId="215">
    <w:name w:val="标准文件_附录五级无标题"/>
    <w:basedOn w:val="84"/>
    <w:qFormat/>
    <w:uiPriority w:val="0"/>
    <w:pPr>
      <w:spacing w:beforeLines="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Lines="0" w:afterLines="0" w:line="276" w:lineRule="auto"/>
    </w:pPr>
    <w:rPr>
      <w:rFonts w:ascii="宋体" w:eastAsia="宋体"/>
    </w:rPr>
  </w:style>
  <w:style w:type="paragraph" w:customStyle="1" w:styleId="217">
    <w:name w:val="标准文件_引言二级无标题"/>
    <w:basedOn w:val="201"/>
    <w:next w:val="56"/>
    <w:qFormat/>
    <w:uiPriority w:val="0"/>
    <w:pPr>
      <w:spacing w:beforeLines="0" w:afterLines="0" w:line="276" w:lineRule="auto"/>
    </w:pPr>
    <w:rPr>
      <w:rFonts w:ascii="宋体" w:eastAsia="宋体"/>
    </w:rPr>
  </w:style>
  <w:style w:type="paragraph" w:customStyle="1" w:styleId="218">
    <w:name w:val="标准文件_引言三级无标题"/>
    <w:basedOn w:val="202"/>
    <w:qFormat/>
    <w:uiPriority w:val="0"/>
    <w:pPr>
      <w:spacing w:beforeLines="0" w:afterLines="0" w:line="276" w:lineRule="auto"/>
    </w:pPr>
    <w:rPr>
      <w:rFonts w:ascii="宋体" w:eastAsia="宋体"/>
    </w:rPr>
  </w:style>
  <w:style w:type="paragraph" w:customStyle="1" w:styleId="219">
    <w:name w:val="标准文件_引言四级无标题"/>
    <w:basedOn w:val="203"/>
    <w:next w:val="56"/>
    <w:qFormat/>
    <w:uiPriority w:val="0"/>
    <w:pPr>
      <w:spacing w:beforeLines="0" w:afterLines="0" w:line="276" w:lineRule="auto"/>
    </w:pPr>
    <w:rPr>
      <w:rFonts w:ascii="宋体" w:eastAsia="宋体"/>
    </w:rPr>
  </w:style>
  <w:style w:type="paragraph" w:customStyle="1" w:styleId="220">
    <w:name w:val="标准文件_引言五级无标题"/>
    <w:basedOn w:val="204"/>
    <w:next w:val="56"/>
    <w:qFormat/>
    <w:uiPriority w:val="0"/>
    <w:pPr>
      <w:spacing w:beforeLines="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1">
    <w:name w:val="段 Char"/>
    <w:link w:val="230"/>
    <w:qFormat/>
    <w:uiPriority w:val="0"/>
    <w:rPr>
      <w:rFonts w:ascii="宋体" w:hAnsi="Times New Roman"/>
      <w:sz w:val="21"/>
    </w:rPr>
  </w:style>
  <w:style w:type="paragraph" w:customStyle="1" w:styleId="232">
    <w:name w:val="一级条标题"/>
    <w:next w:val="230"/>
    <w:qFormat/>
    <w:uiPriority w:val="0"/>
    <w:pPr>
      <w:numPr>
        <w:ilvl w:val="1"/>
        <w:numId w:val="32"/>
      </w:numPr>
      <w:spacing w:beforeLines="50" w:afterLines="50"/>
      <w:outlineLvl w:val="2"/>
    </w:pPr>
    <w:rPr>
      <w:rFonts w:ascii="黑体" w:hAnsi="Times New Roman" w:eastAsia="黑体" w:cs="Times New Roman"/>
      <w:sz w:val="21"/>
      <w:szCs w:val="21"/>
      <w:lang w:val="en-US" w:eastAsia="zh-CN" w:bidi="ar-SA"/>
    </w:rPr>
  </w:style>
  <w:style w:type="paragraph" w:customStyle="1" w:styleId="233">
    <w:name w:val="章标题"/>
    <w:next w:val="230"/>
    <w:qFormat/>
    <w:uiPriority w:val="0"/>
    <w:pPr>
      <w:numPr>
        <w:ilvl w:val="0"/>
        <w:numId w:val="32"/>
      </w:numPr>
      <w:spacing w:beforeLines="100" w:afterLines="100"/>
      <w:jc w:val="both"/>
      <w:outlineLvl w:val="1"/>
    </w:pPr>
    <w:rPr>
      <w:rFonts w:ascii="黑体" w:hAnsi="Times New Roman" w:eastAsia="黑体" w:cs="Times New Roman"/>
      <w:sz w:val="21"/>
      <w:lang w:val="en-US" w:eastAsia="zh-CN" w:bidi="ar-SA"/>
    </w:rPr>
  </w:style>
  <w:style w:type="paragraph" w:customStyle="1" w:styleId="234">
    <w:name w:val="二级条标题"/>
    <w:basedOn w:val="232"/>
    <w:next w:val="230"/>
    <w:qFormat/>
    <w:uiPriority w:val="0"/>
    <w:pPr>
      <w:numPr>
        <w:ilvl w:val="2"/>
      </w:numPr>
      <w:spacing w:before="50" w:after="50"/>
      <w:outlineLvl w:val="3"/>
    </w:pPr>
  </w:style>
  <w:style w:type="paragraph" w:customStyle="1" w:styleId="235">
    <w:name w:val="四级条标题"/>
    <w:basedOn w:val="1"/>
    <w:next w:val="230"/>
    <w:qFormat/>
    <w:uiPriority w:val="0"/>
    <w:pPr>
      <w:widowControl/>
      <w:numPr>
        <w:ilvl w:val="4"/>
        <w:numId w:val="32"/>
      </w:numPr>
      <w:adjustRightInd/>
      <w:spacing w:beforeLines="50" w:afterLines="50" w:line="240" w:lineRule="auto"/>
      <w:jc w:val="left"/>
      <w:outlineLvl w:val="5"/>
    </w:pPr>
    <w:rPr>
      <w:rFonts w:ascii="黑体" w:hAnsi="Times New Roman" w:eastAsia="黑体"/>
      <w:kern w:val="0"/>
    </w:rPr>
  </w:style>
  <w:style w:type="paragraph" w:customStyle="1" w:styleId="236">
    <w:name w:val="五级条标题"/>
    <w:basedOn w:val="235"/>
    <w:next w:val="230"/>
    <w:qFormat/>
    <w:uiPriority w:val="0"/>
    <w:pPr>
      <w:numPr>
        <w:ilvl w:val="5"/>
      </w:numPr>
      <w:outlineLvl w:val="6"/>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B4753A3567142D1BA9A33773EE3D3A2"/>
        <w:style w:val=""/>
        <w:category>
          <w:name w:val="常规"/>
          <w:gallery w:val="placeholder"/>
        </w:category>
        <w:types>
          <w:type w:val="bbPlcHdr"/>
        </w:types>
        <w:behaviors>
          <w:behavior w:val="content"/>
        </w:behaviors>
        <w:description w:val=""/>
        <w:guid w:val="{9F51427A-65A8-4119-B438-BA4DEFB72883}"/>
      </w:docPartPr>
      <w:docPartBody>
        <w:p w14:paraId="35AF5934">
          <w:pPr>
            <w:pStyle w:val="5"/>
          </w:pPr>
          <w:r>
            <w:rPr>
              <w:rStyle w:val="4"/>
              <w:rFonts w:hint="eastAsia"/>
            </w:rPr>
            <w:t>单击或点击此处输入文字。</w:t>
          </w:r>
        </w:p>
      </w:docPartBody>
    </w:docPart>
    <w:docPart>
      <w:docPartPr>
        <w:name w:val="BE5953E9097B4A18B87E46C4781F2C6E"/>
        <w:style w:val=""/>
        <w:category>
          <w:name w:val="常规"/>
          <w:gallery w:val="placeholder"/>
        </w:category>
        <w:types>
          <w:type w:val="bbPlcHdr"/>
        </w:types>
        <w:behaviors>
          <w:behavior w:val="content"/>
        </w:behaviors>
        <w:description w:val=""/>
        <w:guid w:val="{90B932BD-DA6B-46C6-BEFF-23EAAAE262EA}"/>
      </w:docPartPr>
      <w:docPartBody>
        <w:p w14:paraId="11F6CA88">
          <w:pPr>
            <w:pStyle w:val="6"/>
          </w:pPr>
          <w:r>
            <w:rPr>
              <w:rStyle w:val="4"/>
              <w:rFonts w:hint="eastAsia"/>
            </w:rPr>
            <w:t>选择一项。</w:t>
          </w:r>
        </w:p>
      </w:docPartBody>
    </w:docPart>
    <w:docPart>
      <w:docPartPr>
        <w:name w:val="40402A5473C74331898DDE2E7091F616"/>
        <w:style w:val=""/>
        <w:category>
          <w:name w:val="常规"/>
          <w:gallery w:val="placeholder"/>
        </w:category>
        <w:types>
          <w:type w:val="bbPlcHdr"/>
        </w:types>
        <w:behaviors>
          <w:behavior w:val="content"/>
        </w:behaviors>
        <w:description w:val=""/>
        <w:guid w:val="{6DD54F4D-16D8-4F9C-8260-431B9F7F65E5}"/>
      </w:docPartPr>
      <w:docPartBody>
        <w:p w14:paraId="0A6A6B4A">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D4553A"/>
    <w:rsid w:val="00083564"/>
    <w:rsid w:val="001D6B27"/>
    <w:rsid w:val="002B42F3"/>
    <w:rsid w:val="0036307B"/>
    <w:rsid w:val="004575F4"/>
    <w:rsid w:val="00517432"/>
    <w:rsid w:val="005402B5"/>
    <w:rsid w:val="005910CE"/>
    <w:rsid w:val="00591308"/>
    <w:rsid w:val="006E37F8"/>
    <w:rsid w:val="007F252E"/>
    <w:rsid w:val="00973539"/>
    <w:rsid w:val="00A3563C"/>
    <w:rsid w:val="00A42E80"/>
    <w:rsid w:val="00B22BBF"/>
    <w:rsid w:val="00BB0253"/>
    <w:rsid w:val="00BB2AD6"/>
    <w:rsid w:val="00CC2D11"/>
    <w:rsid w:val="00D4553A"/>
    <w:rsid w:val="00F00A1E"/>
    <w:rsid w:val="00F94F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8B4753A3567142D1BA9A33773EE3D3A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BE5953E9097B4A18B87E46C4781F2C6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40402A5473C74331898DDE2E7091F616"/>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562C58-338E-4F39-94F5-FD7EC0230C57}">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9</Pages>
  <Words>3524</Words>
  <Characters>4279</Characters>
  <Lines>46</Lines>
  <Paragraphs>13</Paragraphs>
  <TotalTime>62</TotalTime>
  <ScaleCrop>false</ScaleCrop>
  <LinksUpToDate>false</LinksUpToDate>
  <CharactersWithSpaces>4418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2024-09-27T02:56:00Z</dcterms:created>
  <dc:creator>Microsoft</dc:creator>
  <dc:description>&lt;config cover="true" show_menu="true" version="1.0.0" doctype="SDKXY"&gt;_x000d_
&lt;/config&gt;</dc:description>
  <cp:lastModifiedBy>mmme</cp:lastModifiedBy>
  <cp:lastPrinted>2024-09-30T06:02:00Z</cp:lastPrinted>
  <dcterms:modified xsi:type="dcterms:W3CDTF">2024-11-06T08:42:53Z</dcterms:modified>
  <dc:title>地方标准</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2052-12.1.0.18608</vt:lpwstr>
  </property>
  <property fmtid="{D5CDD505-2E9C-101B-9397-08002B2CF9AE}" pid="15" name="ICV">
    <vt:lpwstr>9B9A056C9A5E43E789C4A4D683AD83BA_12</vt:lpwstr>
  </property>
</Properties>
</file>